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DA8AF">
      <w:pPr>
        <w:pStyle w:val="10"/>
        <w:jc w:val="center"/>
        <w:rPr>
          <w:rStyle w:val="11"/>
          <w:rFonts w:ascii="方正小标宋简体" w:eastAsia="方正小标宋简体"/>
          <w:b w:val="0"/>
          <w:bCs w:val="0"/>
          <w:color w:val="000000" w:themeColor="text1"/>
          <w14:textFill>
            <w14:solidFill>
              <w14:schemeClr w14:val="tx1"/>
            </w14:solidFill>
          </w14:textFill>
        </w:rPr>
      </w:pPr>
      <w:r>
        <w:rPr>
          <w:rStyle w:val="11"/>
          <w:rFonts w:hint="eastAsia" w:ascii="方正小标宋简体" w:eastAsia="方正小标宋简体"/>
          <w:b w:val="0"/>
          <w:bCs w:val="0"/>
          <w:color w:val="000000" w:themeColor="text1"/>
          <w14:textFill>
            <w14:solidFill>
              <w14:schemeClr w14:val="tx1"/>
            </w14:solidFill>
          </w14:textFill>
        </w:rPr>
        <w:t>采购需求</w:t>
      </w:r>
      <w:bookmarkStart w:id="0" w:name="_Toc24710"/>
      <w:bookmarkEnd w:id="0"/>
      <w:bookmarkStart w:id="1" w:name="_Toc23965"/>
    </w:p>
    <w:p w14:paraId="7DE03343">
      <w:pPr>
        <w:spacing w:line="360" w:lineRule="auto"/>
        <w:rPr>
          <w:rFonts w:cs="宋体"/>
          <w:szCs w:val="22"/>
        </w:rPr>
      </w:pPr>
    </w:p>
    <w:p w14:paraId="798CC6C9">
      <w:pPr>
        <w:spacing w:line="360" w:lineRule="auto"/>
        <w:rPr>
          <w:rFonts w:ascii="黑体" w:hAnsi="黑体" w:eastAsia="黑体" w:cs="黑体"/>
          <w:sz w:val="28"/>
          <w:szCs w:val="28"/>
        </w:rPr>
      </w:pPr>
      <w:r>
        <w:rPr>
          <w:rFonts w:hint="eastAsia" w:ascii="黑体" w:hAnsi="黑体" w:eastAsia="黑体" w:cs="黑体"/>
          <w:sz w:val="28"/>
          <w:szCs w:val="28"/>
        </w:rPr>
        <w:t>一、采购清单</w:t>
      </w:r>
    </w:p>
    <w:tbl>
      <w:tblPr>
        <w:tblStyle w:val="8"/>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5"/>
        <w:gridCol w:w="1044"/>
        <w:gridCol w:w="1028"/>
        <w:gridCol w:w="1008"/>
        <w:gridCol w:w="1267"/>
        <w:gridCol w:w="1376"/>
      </w:tblGrid>
      <w:tr w14:paraId="7C36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755" w:type="dxa"/>
            <w:vAlign w:val="center"/>
          </w:tcPr>
          <w:p w14:paraId="166B3B5A">
            <w:pPr>
              <w:spacing w:line="600" w:lineRule="exact"/>
              <w:jc w:val="center"/>
              <w:rPr>
                <w:sz w:val="24"/>
                <w:szCs w:val="24"/>
              </w:rPr>
            </w:pPr>
            <w:r>
              <w:rPr>
                <w:rFonts w:hint="eastAsia" w:ascii="宋体" w:hAnsi="宋体" w:cs="宋体"/>
                <w:sz w:val="24"/>
                <w:szCs w:val="24"/>
              </w:rPr>
              <w:t>品目</w:t>
            </w:r>
          </w:p>
        </w:tc>
        <w:tc>
          <w:tcPr>
            <w:tcW w:w="1044" w:type="dxa"/>
            <w:vAlign w:val="center"/>
          </w:tcPr>
          <w:p w14:paraId="4D011EC6">
            <w:pPr>
              <w:spacing w:line="600" w:lineRule="exact"/>
              <w:jc w:val="center"/>
              <w:rPr>
                <w:sz w:val="24"/>
                <w:szCs w:val="24"/>
              </w:rPr>
            </w:pPr>
            <w:r>
              <w:rPr>
                <w:rFonts w:hint="eastAsia" w:ascii="宋体" w:hAnsi="宋体" w:cs="宋体"/>
                <w:sz w:val="24"/>
                <w:szCs w:val="24"/>
              </w:rPr>
              <w:t>数量</w:t>
            </w:r>
          </w:p>
        </w:tc>
        <w:tc>
          <w:tcPr>
            <w:tcW w:w="1028" w:type="dxa"/>
            <w:vAlign w:val="center"/>
          </w:tcPr>
          <w:p w14:paraId="4DAC4052">
            <w:pPr>
              <w:spacing w:line="600" w:lineRule="exact"/>
              <w:jc w:val="center"/>
              <w:rPr>
                <w:sz w:val="24"/>
                <w:szCs w:val="24"/>
              </w:rPr>
            </w:pPr>
            <w:r>
              <w:rPr>
                <w:rFonts w:hint="eastAsia" w:ascii="宋体" w:hAnsi="宋体" w:cs="宋体"/>
                <w:sz w:val="24"/>
                <w:szCs w:val="24"/>
              </w:rPr>
              <w:t>单位</w:t>
            </w:r>
          </w:p>
        </w:tc>
        <w:tc>
          <w:tcPr>
            <w:tcW w:w="1008" w:type="dxa"/>
            <w:vAlign w:val="center"/>
          </w:tcPr>
          <w:p w14:paraId="3A0E13C3">
            <w:pPr>
              <w:spacing w:line="600" w:lineRule="exact"/>
              <w:jc w:val="center"/>
              <w:rPr>
                <w:sz w:val="24"/>
                <w:szCs w:val="24"/>
              </w:rPr>
            </w:pPr>
            <w:r>
              <w:rPr>
                <w:rFonts w:hint="eastAsia" w:ascii="宋体" w:hAnsi="宋体" w:cs="宋体"/>
                <w:sz w:val="24"/>
                <w:szCs w:val="24"/>
              </w:rPr>
              <w:t>单价</w:t>
            </w:r>
          </w:p>
          <w:p w14:paraId="6927D7C6">
            <w:pPr>
              <w:spacing w:line="600" w:lineRule="exact"/>
              <w:jc w:val="center"/>
              <w:rPr>
                <w:sz w:val="24"/>
                <w:szCs w:val="24"/>
              </w:rPr>
            </w:pPr>
            <w:r>
              <w:rPr>
                <w:rFonts w:hint="eastAsia" w:ascii="宋体" w:hAnsi="宋体" w:cs="宋体"/>
                <w:sz w:val="24"/>
                <w:szCs w:val="24"/>
              </w:rPr>
              <w:t>（元）</w:t>
            </w:r>
          </w:p>
        </w:tc>
        <w:tc>
          <w:tcPr>
            <w:tcW w:w="1267" w:type="dxa"/>
            <w:vAlign w:val="center"/>
          </w:tcPr>
          <w:p w14:paraId="079F5243">
            <w:pPr>
              <w:spacing w:line="600" w:lineRule="exact"/>
              <w:jc w:val="center"/>
              <w:rPr>
                <w:rFonts w:hint="eastAsia" w:ascii="宋体" w:hAnsi="宋体" w:cs="宋体"/>
                <w:sz w:val="24"/>
                <w:szCs w:val="24"/>
                <w:lang w:eastAsia="zh-CN"/>
              </w:rPr>
            </w:pPr>
            <w:r>
              <w:rPr>
                <w:rFonts w:hint="eastAsia" w:ascii="宋体" w:hAnsi="宋体" w:cs="宋体"/>
                <w:sz w:val="24"/>
                <w:szCs w:val="24"/>
                <w:lang w:eastAsia="zh-CN"/>
              </w:rPr>
              <w:t>小计</w:t>
            </w:r>
          </w:p>
          <w:p w14:paraId="34C91EFD">
            <w:pPr>
              <w:spacing w:line="600" w:lineRule="exact"/>
              <w:jc w:val="center"/>
              <w:rPr>
                <w:sz w:val="24"/>
                <w:szCs w:val="24"/>
              </w:rPr>
            </w:pPr>
            <w:r>
              <w:rPr>
                <w:rFonts w:hint="eastAsia" w:ascii="宋体" w:hAnsi="宋体" w:cs="宋体"/>
                <w:sz w:val="24"/>
                <w:szCs w:val="24"/>
              </w:rPr>
              <w:t>（元）</w:t>
            </w:r>
          </w:p>
        </w:tc>
        <w:tc>
          <w:tcPr>
            <w:tcW w:w="1376" w:type="dxa"/>
            <w:vAlign w:val="center"/>
          </w:tcPr>
          <w:p w14:paraId="61B2A206">
            <w:pPr>
              <w:spacing w:line="600" w:lineRule="exact"/>
              <w:jc w:val="center"/>
              <w:rPr>
                <w:sz w:val="24"/>
                <w:szCs w:val="24"/>
              </w:rPr>
            </w:pPr>
            <w:r>
              <w:rPr>
                <w:rFonts w:hint="eastAsia" w:cs="宋体"/>
                <w:sz w:val="24"/>
                <w:szCs w:val="24"/>
              </w:rPr>
              <w:t>备注</w:t>
            </w:r>
          </w:p>
        </w:tc>
      </w:tr>
      <w:tr w14:paraId="70FC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755" w:type="dxa"/>
            <w:vAlign w:val="center"/>
          </w:tcPr>
          <w:p w14:paraId="48C9C709">
            <w:pPr>
              <w:spacing w:line="600" w:lineRule="exact"/>
              <w:jc w:val="center"/>
              <w:rPr>
                <w:rFonts w:hint="eastAsia" w:cs="宋体"/>
                <w:sz w:val="24"/>
                <w:szCs w:val="24"/>
              </w:rPr>
            </w:pPr>
            <w:r>
              <w:rPr>
                <w:rFonts w:hint="eastAsia" w:cs="宋体"/>
                <w:sz w:val="24"/>
                <w:szCs w:val="24"/>
              </w:rPr>
              <w:t>全自动化学发光免疫</w:t>
            </w:r>
          </w:p>
          <w:p w14:paraId="1A92CE63">
            <w:pPr>
              <w:spacing w:line="600" w:lineRule="exact"/>
              <w:jc w:val="center"/>
              <w:rPr>
                <w:sz w:val="24"/>
                <w:szCs w:val="24"/>
              </w:rPr>
            </w:pPr>
            <w:r>
              <w:rPr>
                <w:rFonts w:hint="eastAsia" w:cs="宋体"/>
                <w:sz w:val="24"/>
                <w:szCs w:val="24"/>
              </w:rPr>
              <w:t>分析仪</w:t>
            </w:r>
          </w:p>
        </w:tc>
        <w:tc>
          <w:tcPr>
            <w:tcW w:w="1044" w:type="dxa"/>
            <w:vAlign w:val="center"/>
          </w:tcPr>
          <w:p w14:paraId="1480EF39">
            <w:pPr>
              <w:spacing w:line="600" w:lineRule="exact"/>
              <w:jc w:val="center"/>
              <w:rPr>
                <w:sz w:val="24"/>
                <w:szCs w:val="24"/>
              </w:rPr>
            </w:pPr>
            <w:r>
              <w:rPr>
                <w:rFonts w:hint="eastAsia" w:ascii="宋体" w:hAnsi="宋体" w:cs="宋体"/>
                <w:sz w:val="24"/>
                <w:szCs w:val="24"/>
              </w:rPr>
              <w:t>1</w:t>
            </w:r>
          </w:p>
        </w:tc>
        <w:tc>
          <w:tcPr>
            <w:tcW w:w="1028" w:type="dxa"/>
            <w:vAlign w:val="center"/>
          </w:tcPr>
          <w:p w14:paraId="2E103025">
            <w:pPr>
              <w:spacing w:line="600" w:lineRule="exact"/>
              <w:jc w:val="center"/>
              <w:rPr>
                <w:sz w:val="24"/>
                <w:szCs w:val="24"/>
              </w:rPr>
            </w:pPr>
            <w:r>
              <w:rPr>
                <w:rFonts w:hint="eastAsia" w:ascii="宋体" w:hAnsi="宋体" w:cs="宋体"/>
                <w:sz w:val="24"/>
                <w:szCs w:val="24"/>
              </w:rPr>
              <w:t>台</w:t>
            </w:r>
          </w:p>
        </w:tc>
        <w:tc>
          <w:tcPr>
            <w:tcW w:w="1008" w:type="dxa"/>
            <w:vAlign w:val="center"/>
          </w:tcPr>
          <w:p w14:paraId="54AA82B4">
            <w:pPr>
              <w:spacing w:line="600" w:lineRule="exact"/>
              <w:jc w:val="center"/>
              <w:rPr>
                <w:sz w:val="24"/>
                <w:szCs w:val="24"/>
              </w:rPr>
            </w:pPr>
            <w:r>
              <w:rPr>
                <w:rFonts w:hint="eastAsia" w:cs="宋体"/>
                <w:sz w:val="24"/>
                <w:szCs w:val="24"/>
              </w:rPr>
              <w:t>50000</w:t>
            </w:r>
          </w:p>
        </w:tc>
        <w:tc>
          <w:tcPr>
            <w:tcW w:w="1267" w:type="dxa"/>
            <w:vAlign w:val="center"/>
          </w:tcPr>
          <w:p w14:paraId="22426D5B">
            <w:pPr>
              <w:spacing w:line="600" w:lineRule="exact"/>
              <w:jc w:val="center"/>
              <w:rPr>
                <w:sz w:val="24"/>
                <w:szCs w:val="24"/>
              </w:rPr>
            </w:pPr>
            <w:r>
              <w:rPr>
                <w:rFonts w:hint="eastAsia" w:cs="宋体"/>
                <w:sz w:val="24"/>
                <w:szCs w:val="24"/>
              </w:rPr>
              <w:t>50000</w:t>
            </w:r>
          </w:p>
        </w:tc>
        <w:tc>
          <w:tcPr>
            <w:tcW w:w="1376" w:type="dxa"/>
            <w:vAlign w:val="center"/>
          </w:tcPr>
          <w:p w14:paraId="2AF043F0">
            <w:pPr>
              <w:spacing w:line="460" w:lineRule="exact"/>
              <w:rPr>
                <w:sz w:val="24"/>
                <w:szCs w:val="24"/>
              </w:rPr>
            </w:pPr>
          </w:p>
        </w:tc>
      </w:tr>
      <w:tr w14:paraId="5E19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5835" w:type="dxa"/>
            <w:gridSpan w:val="4"/>
            <w:vAlign w:val="center"/>
          </w:tcPr>
          <w:p w14:paraId="0D38C094">
            <w:pPr>
              <w:spacing w:line="600" w:lineRule="exact"/>
              <w:jc w:val="center"/>
              <w:rPr>
                <w:rFonts w:hint="eastAsia" w:eastAsia="宋体" w:cs="宋体"/>
                <w:sz w:val="24"/>
                <w:szCs w:val="24"/>
                <w:lang w:eastAsia="zh-CN"/>
              </w:rPr>
            </w:pPr>
            <w:r>
              <w:rPr>
                <w:rFonts w:hint="eastAsia" w:cs="宋体"/>
                <w:sz w:val="24"/>
                <w:szCs w:val="24"/>
                <w:lang w:eastAsia="zh-CN"/>
              </w:rPr>
              <w:t>合计（元）</w:t>
            </w:r>
          </w:p>
        </w:tc>
        <w:tc>
          <w:tcPr>
            <w:tcW w:w="1267" w:type="dxa"/>
            <w:vAlign w:val="center"/>
          </w:tcPr>
          <w:p w14:paraId="4CF7879E">
            <w:pPr>
              <w:spacing w:line="600" w:lineRule="exact"/>
              <w:jc w:val="center"/>
              <w:rPr>
                <w:rFonts w:hint="default" w:eastAsia="宋体" w:cs="宋体"/>
                <w:sz w:val="24"/>
                <w:szCs w:val="24"/>
                <w:lang w:val="en-US" w:eastAsia="zh-CN"/>
              </w:rPr>
            </w:pPr>
            <w:r>
              <w:rPr>
                <w:rFonts w:hint="eastAsia" w:cs="宋体"/>
                <w:sz w:val="24"/>
                <w:szCs w:val="24"/>
                <w:lang w:val="en-US" w:eastAsia="zh-CN"/>
              </w:rPr>
              <w:t>50000</w:t>
            </w:r>
          </w:p>
        </w:tc>
        <w:tc>
          <w:tcPr>
            <w:tcW w:w="1376" w:type="dxa"/>
            <w:vAlign w:val="center"/>
          </w:tcPr>
          <w:p w14:paraId="4215F113">
            <w:pPr>
              <w:spacing w:line="460" w:lineRule="exact"/>
              <w:rPr>
                <w:sz w:val="24"/>
                <w:szCs w:val="24"/>
              </w:rPr>
            </w:pPr>
          </w:p>
        </w:tc>
      </w:tr>
    </w:tbl>
    <w:p w14:paraId="196CF5DB">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说明：1.因各制造商产品注册名称等信息的差异，所以响应文件的产品名称可以不限于招标文件名称，但产品性能指标必须满足设备技术参数和临床使用要求。</w:t>
      </w:r>
    </w:p>
    <w:p w14:paraId="4DB677B8">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2.所投产品为当前市场在售流通产品，业界主流品牌/机型，性能优良、工作稳定、故障率低、用户广泛；设备设计使用年限长，主机及附件设计成熟、故障率低。</w:t>
      </w:r>
    </w:p>
    <w:p w14:paraId="6B66DD99">
      <w:pPr>
        <w:spacing w:line="60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3.设备技术参数为本身设备自带技术要求，不接受额外加装设备实现相应的功能。</w:t>
      </w:r>
    </w:p>
    <w:p w14:paraId="1C25A83D">
      <w:pPr>
        <w:spacing w:line="60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4.凡涉及国家或行业管理部门颁发的相关规范、规程和标准，无论其是否在本招标文件中列明，成交供应商应无条件执行。标准、规范等不一致的，以要求高者为准。</w:t>
      </w:r>
    </w:p>
    <w:p w14:paraId="57674A8C">
      <w:pPr>
        <w:spacing w:line="60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5.若属</w:t>
      </w:r>
      <w:r>
        <w:rPr>
          <w:rFonts w:asciiTheme="minorEastAsia" w:hAnsiTheme="minorEastAsia" w:eastAsiaTheme="minorEastAsia" w:cstheme="minorEastAsia"/>
          <w:sz w:val="28"/>
          <w:szCs w:val="28"/>
          <w:highlight w:val="none"/>
        </w:rPr>
        <w:t>节能产品实行强制采购，需提供国家认证机构出具的、处于有效期内的节能产品证书。</w:t>
      </w:r>
    </w:p>
    <w:p w14:paraId="6FDDAD0C">
      <w:pPr>
        <w:pStyle w:val="12"/>
        <w:spacing w:line="560" w:lineRule="exact"/>
        <w:ind w:left="0" w:firstLine="0"/>
        <w:rPr>
          <w:rFonts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二、技术参数</w:t>
      </w:r>
    </w:p>
    <w:p w14:paraId="0993ED55">
      <w:pPr>
        <w:pStyle w:val="12"/>
        <w:spacing w:line="560" w:lineRule="exact"/>
        <w:ind w:left="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 xml:space="preserve">设备主要用途 </w:t>
      </w:r>
    </w:p>
    <w:p w14:paraId="165CA077">
      <w:pPr>
        <w:pStyle w:val="12"/>
        <w:spacing w:line="560" w:lineRule="exact"/>
        <w:ind w:left="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设备主要用于对人体血清、血浆等标本进行全自动免疫化学发光定量检测，精准完成各类生化免疫指标的分析工作，主要服务于疾病辅助诊断、病情动态监测、治疗效果评估、预后判断及用药浓度监测，全程自动化操作，可有效提升检验标准化、精准化水平，满足医院常规及专项检验工作需求。</w:t>
      </w:r>
    </w:p>
    <w:p w14:paraId="4942E17D">
      <w:pPr>
        <w:pStyle w:val="12"/>
        <w:spacing w:line="560" w:lineRule="exact"/>
        <w:ind w:left="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临床适用范围</w:t>
      </w:r>
    </w:p>
    <w:p w14:paraId="39908EC5">
      <w:pPr>
        <w:pStyle w:val="12"/>
        <w:spacing w:line="560" w:lineRule="exact"/>
        <w:ind w:left="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设备适用科室广泛，检测项目涵盖急诊科、心内科、内分泌科、肿瘤科、妇产科、儿科、感染科及外科等全院临床科室。可开展心肌功能、甲状腺功能、生殖性激素、肿瘤标志物、感染性疾病、炎症指标、血糖代谢及治疗药物浓度等多项检测项目，适用于门诊常规筛查、住院患者常规检验、急诊快速救治检测及术后、慢性病患者长期随访监测等。</w:t>
      </w:r>
    </w:p>
    <w:p w14:paraId="0DB22260">
      <w:pPr>
        <w:pStyle w:val="12"/>
        <w:spacing w:line="560" w:lineRule="exact"/>
        <w:ind w:left="0" w:firstLine="560" w:firstLineChars="200"/>
        <w:rPr>
          <w:rFonts w:hint="eastAsia" w:ascii="宋体" w:hAnsi="宋体" w:eastAsia="宋体" w:cs="宋体"/>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.化学发光法检测工作速度：单模</w:t>
      </w:r>
      <w:r>
        <w:rPr>
          <w:rFonts w:hint="eastAsia" w:ascii="宋体" w:hAnsi="宋体" w:eastAsia="宋体" w:cs="宋体"/>
          <w:sz w:val="28"/>
          <w:szCs w:val="28"/>
          <w:lang w:eastAsia="zh-CN"/>
        </w:rPr>
        <w:t>块最大测试速度≥600T/H。</w:t>
      </w:r>
    </w:p>
    <w:p w14:paraId="72097B91">
      <w:pPr>
        <w:pStyle w:val="12"/>
        <w:spacing w:line="560" w:lineRule="exact"/>
        <w:ind w:left="0" w:firstLine="560" w:firstLineChars="200"/>
        <w:rPr>
          <w:rFonts w:asciiTheme="minorEastAsia" w:hAnsiTheme="minorEastAsia" w:eastAsiaTheme="minorEastAsia" w:cstheme="minorEastAsia"/>
          <w:sz w:val="28"/>
          <w:szCs w:val="28"/>
          <w:lang w:eastAsia="zh-CN"/>
        </w:rPr>
      </w:pPr>
      <w:r>
        <w:rPr>
          <w:rFonts w:hint="eastAsia" w:ascii="仿宋" w:hAnsi="仿宋" w:eastAsia="仿宋" w:cs="仿宋"/>
          <w:sz w:val="28"/>
          <w:szCs w:val="28"/>
          <w:lang w:eastAsia="zh-CN"/>
        </w:rPr>
        <w:t>★</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.测试原理：采用非酶参与的直接化学发光方法或电化学发光法。</w:t>
      </w:r>
    </w:p>
    <w:p w14:paraId="5641EEF7">
      <w:pPr>
        <w:pStyle w:val="12"/>
        <w:spacing w:line="560" w:lineRule="exact"/>
        <w:ind w:left="0" w:firstLine="560" w:firstLineChars="20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.单模块分析仪一次性可检测的项目数量：≥40 个。</w:t>
      </w:r>
    </w:p>
    <w:p w14:paraId="5A9DF899">
      <w:pPr>
        <w:pStyle w:val="12"/>
        <w:spacing w:line="560" w:lineRule="exact"/>
        <w:ind w:left="0" w:firstLine="560" w:firstLineChars="200"/>
        <w:rPr>
          <w:rFonts w:asciiTheme="minorEastAsia" w:hAnsiTheme="minorEastAsia" w:eastAsiaTheme="minorEastAsia" w:cstheme="minorEastAsia"/>
          <w:sz w:val="28"/>
          <w:szCs w:val="28"/>
          <w:lang w:eastAsia="zh-CN"/>
        </w:rPr>
      </w:pPr>
      <w:r>
        <w:rPr>
          <w:rFonts w:hint="eastAsia" w:ascii="仿宋" w:hAnsi="仿宋" w:eastAsia="仿宋" w:cs="仿宋"/>
          <w:sz w:val="28"/>
          <w:szCs w:val="28"/>
          <w:lang w:eastAsia="zh-CN"/>
        </w:rPr>
        <w:t>★</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.样本针：采用一次性吸头设计，避免交叉污染。</w:t>
      </w:r>
    </w:p>
    <w:p w14:paraId="5BA9F15C">
      <w:pPr>
        <w:pStyle w:val="12"/>
        <w:spacing w:line="560" w:lineRule="exact"/>
        <w:ind w:left="0" w:firstLine="560" w:firstLineChars="200"/>
        <w:rPr>
          <w:rFonts w:asciiTheme="minorEastAsia" w:hAnsiTheme="minorEastAsia" w:eastAsiaTheme="minorEastAsia" w:cstheme="minorEastAsia"/>
          <w:sz w:val="28"/>
          <w:szCs w:val="28"/>
          <w:lang w:eastAsia="zh-CN"/>
        </w:rPr>
      </w:pPr>
      <w:r>
        <w:rPr>
          <w:rFonts w:hint="eastAsia" w:ascii="仿宋" w:hAnsi="仿宋" w:eastAsia="仿宋" w:cs="仿宋"/>
          <w:sz w:val="28"/>
          <w:szCs w:val="28"/>
          <w:lang w:eastAsia="zh-CN"/>
        </w:rPr>
        <w:t>★</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lang w:eastAsia="zh-CN"/>
        </w:rPr>
        <w:t>.校准方式：内置主曲线，所有项目均采用两点或三点校准，节省试剂耗材。 </w:t>
      </w:r>
    </w:p>
    <w:p w14:paraId="71C8C2B0">
      <w:pPr>
        <w:pStyle w:val="12"/>
        <w:spacing w:line="560" w:lineRule="exact"/>
        <w:ind w:left="0" w:firstLine="560" w:firstLineChars="20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lang w:eastAsia="zh-CN"/>
        </w:rPr>
        <w:t>.反应杯：单模块一次性存储≥2000 个反应杯，支持随时装载。</w:t>
      </w:r>
    </w:p>
    <w:p w14:paraId="0DDF445E">
      <w:pPr>
        <w:pStyle w:val="12"/>
        <w:spacing w:line="560" w:lineRule="exact"/>
        <w:ind w:left="0" w:firstLine="560" w:firstLineChars="20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lang w:eastAsia="zh-CN"/>
        </w:rPr>
        <w:t>.与免疫分析仪配套使用的同品牌免疫试剂项目注册证≥140 个，包含：性腺、甲状腺、炎症监测、传染病、肿瘤标志物等检测项目。</w:t>
      </w:r>
    </w:p>
    <w:p w14:paraId="3C77047E">
      <w:pPr>
        <w:pStyle w:val="12"/>
        <w:spacing w:line="560" w:lineRule="exact"/>
        <w:ind w:left="0" w:firstLine="560" w:firstLineChars="200"/>
        <w:rPr>
          <w:rFonts w:asciiTheme="minorEastAsia" w:hAnsiTheme="minorEastAsia" w:eastAsiaTheme="minorEastAsia" w:cstheme="minorEastAsia"/>
          <w:strike w:val="0"/>
          <w:dstrike w:val="0"/>
          <w:sz w:val="28"/>
          <w:szCs w:val="28"/>
          <w:highlight w:val="none"/>
          <w:lang w:eastAsia="zh-CN"/>
        </w:rPr>
      </w:pPr>
      <w:r>
        <w:rPr>
          <w:rFonts w:hint="eastAsia" w:ascii="仿宋" w:hAnsi="仿宋" w:eastAsia="仿宋" w:cs="仿宋"/>
          <w:sz w:val="28"/>
          <w:szCs w:val="28"/>
          <w:lang w:eastAsia="zh-CN"/>
        </w:rPr>
        <w:t>★</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lang w:eastAsia="zh-CN"/>
        </w:rPr>
        <w:t>.常规肿瘤项目（AFP、CEA、PSA、F-PSA、C125、CA153、CA199）</w:t>
      </w:r>
      <w:r>
        <w:rPr>
          <w:rFonts w:hint="eastAsia" w:asciiTheme="minorEastAsia" w:hAnsiTheme="minorEastAsia" w:eastAsiaTheme="minorEastAsia" w:cstheme="minorEastAsia"/>
          <w:strike w:val="0"/>
          <w:dstrike w:val="0"/>
          <w:sz w:val="28"/>
          <w:szCs w:val="28"/>
          <w:highlight w:val="none"/>
          <w:lang w:eastAsia="zh-CN"/>
        </w:rPr>
        <w:t>试剂生产厂家参加 2025 年国家卫生健康委临床检验中心两次室间质评，具备独立分组且 EQA 评价家数≥200家。</w:t>
      </w:r>
    </w:p>
    <w:p w14:paraId="41A24B76">
      <w:pPr>
        <w:pStyle w:val="12"/>
        <w:spacing w:line="560" w:lineRule="exact"/>
        <w:ind w:left="0" w:firstLine="560" w:firstLineChars="200"/>
        <w:rPr>
          <w:rFonts w:asciiTheme="minorEastAsia" w:hAnsiTheme="minorEastAsia" w:eastAsiaTheme="minorEastAsia" w:cstheme="minorEastAsia"/>
          <w:strike w:val="0"/>
          <w:dstrike w:val="0"/>
          <w:sz w:val="28"/>
          <w:szCs w:val="28"/>
          <w:highlight w:val="none"/>
          <w:lang w:eastAsia="zh-CN"/>
        </w:rPr>
      </w:pPr>
      <w:r>
        <w:rPr>
          <w:rFonts w:hint="eastAsia" w:asciiTheme="minorEastAsia" w:hAnsiTheme="minorEastAsia" w:eastAsiaTheme="minorEastAsia" w:cstheme="minorEastAsia"/>
          <w:strike w:val="0"/>
          <w:dstrike w:val="0"/>
          <w:sz w:val="28"/>
          <w:szCs w:val="28"/>
          <w:highlight w:val="none"/>
          <w:lang w:eastAsia="zh-CN"/>
        </w:rPr>
        <w:t>1</w:t>
      </w:r>
      <w:r>
        <w:rPr>
          <w:rFonts w:hint="eastAsia" w:asciiTheme="minorEastAsia" w:hAnsiTheme="minorEastAsia" w:eastAsiaTheme="minorEastAsia" w:cstheme="minorEastAsia"/>
          <w:strike w:val="0"/>
          <w:dstrike w:val="0"/>
          <w:sz w:val="28"/>
          <w:szCs w:val="28"/>
          <w:highlight w:val="none"/>
          <w:lang w:val="en-US" w:eastAsia="zh-CN"/>
        </w:rPr>
        <w:t>1</w:t>
      </w:r>
      <w:r>
        <w:rPr>
          <w:rFonts w:hint="eastAsia" w:asciiTheme="minorEastAsia" w:hAnsiTheme="minorEastAsia" w:eastAsiaTheme="minorEastAsia" w:cstheme="minorEastAsia"/>
          <w:strike w:val="0"/>
          <w:dstrike w:val="0"/>
          <w:sz w:val="28"/>
          <w:szCs w:val="28"/>
          <w:highlight w:val="none"/>
          <w:lang w:eastAsia="zh-CN"/>
        </w:rPr>
        <w:t>.货物制造商具有⾃产配套试剂，可提供同品牌全套原装试剂、校准品和质控品及辅助耗材供用户选择，且每盒试剂自带标准品，同时试剂可在安徽省医药集中采购平台采购或属国家集中带量/省际联盟采购中选产品，保证系统配套完整性。</w:t>
      </w:r>
    </w:p>
    <w:p w14:paraId="521D9FC6">
      <w:pPr>
        <w:pStyle w:val="12"/>
        <w:spacing w:line="560" w:lineRule="exact"/>
        <w:ind w:left="0"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.设备使用年限：</w:t>
      </w:r>
      <w:r>
        <w:rPr>
          <w:rFonts w:hint="eastAsia" w:ascii="微软雅黑" w:hAnsi="微软雅黑" w:eastAsia="微软雅黑" w:cs="微软雅黑"/>
          <w:sz w:val="28"/>
          <w:szCs w:val="28"/>
          <w:lang w:eastAsia="zh-CN"/>
        </w:rPr>
        <w:t>≧</w:t>
      </w:r>
      <w:r>
        <w:rPr>
          <w:rFonts w:hint="eastAsia" w:asciiTheme="minorEastAsia" w:hAnsiTheme="minorEastAsia" w:eastAsiaTheme="minorEastAsia" w:cstheme="minorEastAsia"/>
          <w:sz w:val="28"/>
          <w:szCs w:val="28"/>
          <w:lang w:eastAsia="zh-CN"/>
        </w:rPr>
        <w:t>10年。</w:t>
      </w:r>
    </w:p>
    <w:p w14:paraId="008862E4">
      <w:pPr>
        <w:pStyle w:val="12"/>
        <w:spacing w:line="560" w:lineRule="exact"/>
        <w:ind w:left="0" w:firstLine="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三、配置清单</w:t>
      </w:r>
    </w:p>
    <w:p w14:paraId="3289482B">
      <w:pPr>
        <w:pStyle w:val="12"/>
        <w:spacing w:line="560" w:lineRule="exact"/>
        <w:ind w:left="0" w:firstLine="560" w:firstLineChars="20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1.主机1台。</w:t>
      </w:r>
    </w:p>
    <w:p w14:paraId="383376C9">
      <w:pPr>
        <w:pStyle w:val="12"/>
        <w:spacing w:line="560" w:lineRule="exact"/>
        <w:ind w:left="0" w:firstLine="560" w:firstLineChars="200"/>
        <w:rPr>
          <w:rFonts w:asciiTheme="minorEastAsia" w:hAnsiTheme="minorEastAsia" w:eastAsiaTheme="minorEastAsia" w:cstheme="minorEastAsia"/>
          <w:strike/>
          <w:sz w:val="28"/>
          <w:szCs w:val="28"/>
          <w:highlight w:val="none"/>
          <w:lang w:eastAsia="zh-CN"/>
        </w:rPr>
      </w:pPr>
      <w:r>
        <w:rPr>
          <w:rFonts w:hint="eastAsia" w:asciiTheme="minorEastAsia" w:hAnsiTheme="minorEastAsia" w:eastAsiaTheme="minorEastAsia" w:cstheme="minorEastAsia"/>
          <w:sz w:val="28"/>
          <w:szCs w:val="28"/>
          <w:lang w:eastAsia="zh-CN"/>
        </w:rPr>
        <w:t>2.工作站1套：包括台式计算机及液晶显示器等能满足工作需要的所有设备和</w:t>
      </w:r>
      <w:r>
        <w:rPr>
          <w:rFonts w:hint="eastAsia" w:asciiTheme="minorEastAsia" w:hAnsiTheme="minorEastAsia" w:eastAsiaTheme="minorEastAsia" w:cstheme="minorEastAsia"/>
          <w:sz w:val="28"/>
          <w:szCs w:val="28"/>
          <w:highlight w:val="none"/>
          <w:lang w:eastAsia="zh-CN"/>
        </w:rPr>
        <w:t>配套软件。</w:t>
      </w:r>
    </w:p>
    <w:p w14:paraId="2537B3C6">
      <w:pPr>
        <w:pStyle w:val="12"/>
        <w:spacing w:line="560" w:lineRule="exact"/>
        <w:ind w:left="0" w:firstLine="560" w:firstLineChars="20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3.</w:t>
      </w:r>
      <w:r>
        <w:rPr>
          <w:rFonts w:hint="eastAsia" w:ascii="微软雅黑" w:hAnsi="微软雅黑" w:eastAsia="微软雅黑" w:cs="微软雅黑"/>
          <w:sz w:val="28"/>
          <w:szCs w:val="28"/>
          <w:lang w:eastAsia="zh-CN"/>
        </w:rPr>
        <w:t>≧</w:t>
      </w:r>
      <w:r>
        <w:rPr>
          <w:rFonts w:hint="eastAsia" w:asciiTheme="minorEastAsia" w:hAnsiTheme="minorEastAsia" w:eastAsiaTheme="minorEastAsia" w:cstheme="minorEastAsia"/>
          <w:sz w:val="28"/>
          <w:szCs w:val="28"/>
          <w:highlight w:val="none"/>
          <w:lang w:eastAsia="zh-CN"/>
        </w:rPr>
        <w:t>10L清洗液桶1个，</w:t>
      </w:r>
    </w:p>
    <w:p w14:paraId="7FEF833E">
      <w:pPr>
        <w:pStyle w:val="12"/>
        <w:spacing w:line="560" w:lineRule="exact"/>
        <w:ind w:left="0" w:firstLine="560" w:firstLineChars="20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4.</w:t>
      </w:r>
      <w:r>
        <w:rPr>
          <w:rFonts w:hint="eastAsia" w:ascii="微软雅黑" w:hAnsi="微软雅黑" w:eastAsia="微软雅黑" w:cs="微软雅黑"/>
          <w:sz w:val="28"/>
          <w:szCs w:val="28"/>
          <w:lang w:eastAsia="zh-CN"/>
        </w:rPr>
        <w:t>≧</w:t>
      </w:r>
      <w:r>
        <w:rPr>
          <w:rFonts w:hint="eastAsia" w:asciiTheme="minorEastAsia" w:hAnsiTheme="minorEastAsia" w:eastAsiaTheme="minorEastAsia" w:cstheme="minorEastAsia"/>
          <w:sz w:val="28"/>
          <w:szCs w:val="28"/>
          <w:highlight w:val="none"/>
          <w:lang w:eastAsia="zh-CN"/>
        </w:rPr>
        <w:t>10L废液桶1个，</w:t>
      </w:r>
    </w:p>
    <w:p w14:paraId="6457177D">
      <w:pPr>
        <w:pStyle w:val="12"/>
        <w:spacing w:line="560" w:lineRule="exact"/>
        <w:ind w:left="0" w:firstLine="560" w:firstLineChars="200"/>
        <w:rPr>
          <w:rFonts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lang w:eastAsia="zh-CN"/>
        </w:rPr>
        <w:t>.投标人认为必须提供的其他货物。（供应商需确保设备及所有配套件的完整性和可靠性。对于招标文件没有列出的，而确属该设备正常运行和维护必不可少的其他部件、配件如供离心样本的离心机、供连接LIS打印报告的台式电脑及激光打印机、供仪器稳定运行2h的UPS等，供应商有责任给予补充）</w:t>
      </w:r>
    </w:p>
    <w:p w14:paraId="3D3B28BE">
      <w:pPr>
        <w:pStyle w:val="12"/>
        <w:spacing w:line="560" w:lineRule="exact"/>
        <w:ind w:left="0" w:firstLine="560" w:firstLineChars="200"/>
        <w:rPr>
          <w:rFonts w:hint="eastAsia" w:ascii="宋体" w:hAnsi="宋体" w:cs="宋体"/>
          <w:sz w:val="28"/>
          <w:szCs w:val="28"/>
          <w:lang w:eastAsia="zh-CN"/>
        </w:rPr>
      </w:pPr>
      <w:r>
        <w:rPr>
          <w:rFonts w:hint="eastAsia" w:ascii="宋体" w:hAnsi="宋体" w:cs="宋体"/>
          <w:sz w:val="28"/>
          <w:szCs w:val="28"/>
          <w:lang w:eastAsia="zh-CN"/>
        </w:rPr>
        <w:t>注：投标人不得对配置清单产品数量进行缩减。</w:t>
      </w:r>
    </w:p>
    <w:p w14:paraId="636E7E64">
      <w:pPr>
        <w:pStyle w:val="12"/>
        <w:spacing w:line="560" w:lineRule="exact"/>
        <w:ind w:left="0" w:firstLine="560" w:firstLineChars="200"/>
        <w:rPr>
          <w:rFonts w:ascii="宋体" w:hAnsi="宋体" w:cs="宋体"/>
          <w:sz w:val="28"/>
          <w:szCs w:val="28"/>
          <w:highlight w:val="cyan"/>
          <w:lang w:eastAsia="zh-CN"/>
        </w:rPr>
      </w:pPr>
      <w:r>
        <w:rPr>
          <w:rFonts w:hint="eastAsia" w:ascii="宋体" w:hAnsi="宋体" w:cs="宋体"/>
          <w:sz w:val="28"/>
          <w:szCs w:val="28"/>
          <w:highlight w:val="none"/>
          <w:lang w:val="en-US" w:eastAsia="zh-CN"/>
        </w:rPr>
        <w:t>6</w:t>
      </w:r>
      <w:r>
        <w:rPr>
          <w:rFonts w:hint="eastAsia" w:ascii="宋体" w:hAnsi="宋体" w:cs="宋体"/>
          <w:sz w:val="28"/>
          <w:szCs w:val="28"/>
          <w:highlight w:val="none"/>
          <w:lang w:eastAsia="zh-CN"/>
        </w:rPr>
        <w:t>.对采购标的需满足的“质量、安全、技术规格、物理特性等要求”中的技术参数及主要配置给予逐条响应，填写所投产品所能达到的内容和数值，而不得以复制的采购技术要求作为响应内容，应列出具体内容（有具体参数的应填写具体参数数值）及偏离。不能仅填写“全部响应”等，否则评审小组不予认可。</w:t>
      </w:r>
    </w:p>
    <w:p w14:paraId="19ED4C9D">
      <w:pPr>
        <w:pStyle w:val="12"/>
        <w:spacing w:line="560" w:lineRule="exact"/>
        <w:ind w:left="0" w:firstLine="0"/>
        <w:rPr>
          <w:rFonts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四、质保及售后服务</w:t>
      </w:r>
    </w:p>
    <w:p w14:paraId="5D27B779">
      <w:pPr>
        <w:widowControl w:val="0"/>
        <w:spacing w:line="56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投标人必须保证所投产品（含零部件、配件/模块等）经过国家食品药品监督管理局批准认证，符合国家（强制性）标准或行业标准及各项规范要求，结合淮南市市场监督管理局监督检查要求“临床医技各科室严禁使用过期医疗器械”，货物装机日期距离生产日期不超过12个月（以生产日期为准），同时须确保与采购人现有已存在的设备及系统无缝对接，保证使用的连贯性及有效性；保证所供货物及其配置附件供货渠道合法，是配套齐全、全新未用的原装全新合格正品（不接受OEM、贴牌、翻新产品），所投产品同批次产品无被召回情况。所投产品如涉及到计量检定的，供应商需提供相关计量检定部门出具的合法检定报告；如需安装或配置软件的，须为正版软件。</w:t>
      </w:r>
    </w:p>
    <w:p w14:paraId="117C9981">
      <w:pPr>
        <w:widowControl w:val="0"/>
        <w:spacing w:line="56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2.提供整机免费质保期（含所有零部件，包括且不限于消耗性配件、软件升级维护、辅助设备等，更换的零配件均须为原厂零配件）应自验收合格之日起不低于</w:t>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年。每季度提供不少于1 次定期巡检服务及预防性维护保养服务，每年一次定期性能验证、校准、比对服务（含校准品、定标品、质控品及相关配套耗材）并出具相关报告。</w:t>
      </w:r>
    </w:p>
    <w:p w14:paraId="59DF8ED5">
      <w:pPr>
        <w:widowControl w:val="0"/>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t>3.质保期间保证机器的完好率不低于95%（按一年365个日历日计算，故障停机不超过18个日历日），每超出1天，质保期顺延2天；产品生命周期内提供终身的技术支持、机</w:t>
      </w:r>
      <w:r>
        <w:rPr>
          <w:rFonts w:hint="eastAsia" w:asciiTheme="minorEastAsia" w:hAnsiTheme="minorEastAsia" w:eastAsiaTheme="minorEastAsia" w:cstheme="minorEastAsia"/>
          <w:sz w:val="28"/>
          <w:szCs w:val="28"/>
        </w:rPr>
        <w:t>器系统软件、应用软件和相应数据库资料免费安全更新升级服务。</w:t>
      </w:r>
    </w:p>
    <w:p w14:paraId="22681E0E">
      <w:pPr>
        <w:widowControl w:val="0"/>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承诺保修期满后，终身提供维修服务及零配件、易损件和耗材供应，维修仅收取材料成本费，免收工时费、差旅费等费用；设备维保费用每年不超过设备价的5%；如遇到机器故障，发生医患纠纷，造成重大影响由供应商承担相应责任并承担所有损失，包含但不限于经济赔偿责任。</w:t>
      </w:r>
    </w:p>
    <w:p w14:paraId="66DC3C5B">
      <w:pPr>
        <w:widowControl w:val="0"/>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5.投标人向采购人提供保修服务，包括但不限于电话咨询服务、现场维修服务，保证2小时内响应，24小时内故障修复（不可抗拒力量下除外）。如 48小时内（现场服务或寄修，视设备类型而定）无法修复的，应提供备用机器，以保障临床诊疗工作。3个月内连续出现同样故障问题时，供应商负责免费更换同型号全新产品。</w:t>
      </w:r>
    </w:p>
    <w:p w14:paraId="69BA50A0">
      <w:pPr>
        <w:widowControl w:val="0"/>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6.涉及医院信息系统接入要求，须无条件开放设备信息端口和端口文件，且必须支持现行软件系统国家标准与国际标准接口规范，并提供技术支持和承担各项相关费用（产生的费用包含在报价中）。</w:t>
      </w:r>
    </w:p>
    <w:p w14:paraId="14B4DC2B">
      <w:pPr>
        <w:widowControl w:val="0"/>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投标人或所投产品制造商应设有专业的售后服务维修机构，有充足的零配件储备和能力相当的技术服务人员，并保证投标产品停产后至少5年的备件供应期；能够提供专业人员现场操作和培训；能够提供专用工具和三级以上医院相关专家应用技术服务及学术支持。</w:t>
      </w:r>
    </w:p>
    <w:p w14:paraId="019E4DBA">
      <w:pPr>
        <w:widowControl w:val="0"/>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8.供应商需在质保期满前3个月对设备做全面保养及性能检测，并出具相应的报告。</w:t>
      </w:r>
    </w:p>
    <w:p w14:paraId="4C7E5CC3">
      <w:pPr>
        <w:widowControl w:val="0"/>
        <w:spacing w:line="56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五</w:t>
      </w:r>
      <w:r>
        <w:rPr>
          <w:rFonts w:hint="eastAsia" w:asciiTheme="minorEastAsia" w:hAnsiTheme="minorEastAsia" w:eastAsiaTheme="minorEastAsia" w:cstheme="minorEastAsia"/>
          <w:b/>
          <w:bCs/>
          <w:sz w:val="28"/>
          <w:szCs w:val="28"/>
        </w:rPr>
        <w:t>、其他要求</w:t>
      </w:r>
    </w:p>
    <w:p w14:paraId="73655648">
      <w:pPr>
        <w:pStyle w:val="12"/>
        <w:spacing w:line="560" w:lineRule="exact"/>
        <w:ind w:left="0"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.采购需求中技术参数标注“★”的关键核心参数，为实质性条款，若有</w:t>
      </w:r>
      <w:r>
        <w:rPr>
          <w:rFonts w:hint="eastAsia" w:ascii="宋体" w:hAnsi="宋体" w:cs="宋体"/>
          <w:sz w:val="28"/>
          <w:szCs w:val="28"/>
          <w:lang w:eastAsia="zh-CN"/>
        </w:rPr>
        <w:t>任何一条负偏离或不满足，则按无效标处理。</w:t>
      </w:r>
      <w:r>
        <w:rPr>
          <w:rFonts w:hint="eastAsia" w:asciiTheme="minorEastAsia" w:hAnsiTheme="minorEastAsia" w:eastAsiaTheme="minorEastAsia" w:cstheme="minorEastAsia"/>
          <w:sz w:val="28"/>
          <w:szCs w:val="28"/>
          <w:lang w:eastAsia="zh-CN"/>
        </w:rPr>
        <w:t>响应文件中须提供有效技术支持资料作为佐证，包括但不限于医疗器械产品注册证或符合国家相关标准的检验报告或产品认证报告或货物制造商官网产品参数截图或原版技术白皮书或产品彩页或使用说明书或主机操作面板实物图或设备铭牌或著作权证书等（加框标记），逐项响应并标明所在页码，以利于评委查找。要求：字迹清晰、要素齐全。</w:t>
      </w:r>
    </w:p>
    <w:p w14:paraId="7A49514C">
      <w:pPr>
        <w:pStyle w:val="12"/>
        <w:spacing w:line="560" w:lineRule="exact"/>
        <w:ind w:left="0"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非标★参数，以响应文件中供应商填写的“参数响应情况”为准。如供应商虚假响应，采购人上报监管部门按有关规定进行处理。如未实质性响应导致货物验收不合格，产生的一切后果与费用由供应商自行承担。</w:t>
      </w:r>
    </w:p>
    <w:p w14:paraId="4623B1F3">
      <w:pPr>
        <w:widowControl w:val="0"/>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.投标人须提供所投设备的配置清单（含附件/选配件）。清单须列明配齐满足技术性能且正常使用所需要的所有设备设施及附件，采购人无需另外购置即可满足需求。</w:t>
      </w:r>
    </w:p>
    <w:p w14:paraId="7EDD3E71">
      <w:pPr>
        <w:widowControl w:val="0"/>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.投标人须</w:t>
      </w:r>
      <w:r>
        <w:rPr>
          <w:rFonts w:hint="eastAsia" w:asciiTheme="minorEastAsia" w:hAnsiTheme="minorEastAsia" w:eastAsiaTheme="minorEastAsia" w:cstheme="minorEastAsia"/>
          <w:kern w:val="2"/>
          <w:sz w:val="28"/>
          <w:szCs w:val="28"/>
          <w:lang w:val="en-US" w:eastAsia="zh-CN" w:bidi="ar-SA"/>
        </w:rPr>
        <w:t>提供所投设备配件（含易损件）及配套使用的相关试剂耗材分项报价单，包含产品名称、规格型号、品牌、生产商名称、产地、数量、单位、单价</w:t>
      </w:r>
      <w:bookmarkStart w:id="2" w:name="_GoBack"/>
      <w:bookmarkEnd w:id="2"/>
      <w:r>
        <w:rPr>
          <w:rFonts w:hint="eastAsia" w:asciiTheme="minorEastAsia" w:hAnsiTheme="minorEastAsia" w:eastAsiaTheme="minorEastAsia" w:cstheme="minorEastAsia"/>
          <w:kern w:val="2"/>
          <w:sz w:val="28"/>
          <w:szCs w:val="28"/>
          <w:lang w:val="en-US" w:eastAsia="zh-CN" w:bidi="ar-SA"/>
        </w:rPr>
        <w:t>、医保编码等。报价</w:t>
      </w:r>
      <w:r>
        <w:rPr>
          <w:rFonts w:hint="eastAsia" w:asciiTheme="minorEastAsia" w:hAnsiTheme="minorEastAsia" w:eastAsiaTheme="minorEastAsia" w:cstheme="minorEastAsia"/>
          <w:sz w:val="28"/>
          <w:szCs w:val="28"/>
        </w:rPr>
        <w:t>不计入投标总价，作为质保期满后设备配件参考价。（格式自拟，标注专用/通用）。</w:t>
      </w:r>
    </w:p>
    <w:p w14:paraId="7E0B46F2">
      <w:pPr>
        <w:pStyle w:val="3"/>
        <w:spacing w:line="56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rPr>
        <w:t>5</w:t>
      </w:r>
      <w:r>
        <w:rPr>
          <w:rFonts w:hint="eastAsia" w:asciiTheme="minorEastAsia" w:hAnsiTheme="minorEastAsia" w:eastAsiaTheme="minorEastAsia" w:cstheme="minorEastAsia"/>
          <w:kern w:val="2"/>
          <w:sz w:val="28"/>
          <w:szCs w:val="28"/>
        </w:rPr>
        <w:t>.设备安装调试完毕，采购人将在科室试运行15日后组织验收，对货物的数量、外观、包装、质量、安全、功能及性能等进行验收并签署验收证明，项目验收依据为采购合同、招标文件和响应文件。必要时可委托第三方专业机构参与验收。验收不合格的限期整改，整改完成重新验收，仍不合格的依照合同约定按照违约处理，承担相应法律责任。</w:t>
      </w:r>
    </w:p>
    <w:p w14:paraId="3685EBAB">
      <w:pPr>
        <w:pStyle w:val="3"/>
        <w:spacing w:line="56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rPr>
        <w:t>6</w:t>
      </w:r>
      <w:r>
        <w:rPr>
          <w:rFonts w:hint="eastAsia" w:asciiTheme="minorEastAsia" w:hAnsiTheme="minorEastAsia" w:eastAsiaTheme="minorEastAsia" w:cstheme="minorEastAsia"/>
          <w:kern w:val="2"/>
          <w:sz w:val="28"/>
          <w:szCs w:val="28"/>
        </w:rPr>
        <w:t>.采购人使用供应商提供的货物、技术、资料、服务或其他任何一部分时，享有无偿使用权。免受第三方提出的侵犯其专利权、著作权、商标权或其它知识产权的起诉。如果第三方提出侵权指控，供应商应承担由此而引起的一切法律责任和费用。</w:t>
      </w:r>
    </w:p>
    <w:p w14:paraId="7E1E2A13">
      <w:pPr>
        <w:pStyle w:val="3"/>
        <w:kinsoku w:val="0"/>
        <w:spacing w:line="560" w:lineRule="exact"/>
        <w:ind w:firstLine="560" w:firstLineChars="200"/>
        <w:jc w:val="both"/>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rPr>
        <w:t>7</w:t>
      </w:r>
      <w:r>
        <w:rPr>
          <w:rFonts w:hint="eastAsia" w:asciiTheme="minorEastAsia" w:hAnsiTheme="minorEastAsia" w:eastAsiaTheme="minorEastAsia" w:cstheme="minorEastAsia"/>
          <w:kern w:val="2"/>
          <w:sz w:val="28"/>
          <w:szCs w:val="28"/>
        </w:rPr>
        <w:t>.各潜在投标供应商如需了解现场情况，可与采购人联系且自行承担现场踏勘的安全及相关费用。联系人：孙主任，联系电话：0554-2766055。</w:t>
      </w:r>
    </w:p>
    <w:p w14:paraId="3F0FA186">
      <w:pPr>
        <w:pStyle w:val="3"/>
        <w:spacing w:line="560" w:lineRule="exact"/>
        <w:ind w:firstLine="0"/>
        <w:rPr>
          <w:rFonts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lang w:eastAsia="zh-CN"/>
        </w:rPr>
        <w:t>六</w:t>
      </w:r>
      <w:r>
        <w:rPr>
          <w:rFonts w:hint="eastAsia" w:asciiTheme="minorEastAsia" w:hAnsiTheme="minorEastAsia" w:eastAsiaTheme="minorEastAsia" w:cstheme="minorEastAsia"/>
          <w:b/>
          <w:bCs/>
          <w:kern w:val="2"/>
          <w:sz w:val="28"/>
          <w:szCs w:val="28"/>
        </w:rPr>
        <w:t>、违约责任</w:t>
      </w:r>
    </w:p>
    <w:p w14:paraId="752A242C">
      <w:pPr>
        <w:pStyle w:val="3"/>
        <w:spacing w:line="560" w:lineRule="exact"/>
        <w:ind w:firstLine="560" w:firstLineChars="200"/>
        <w:jc w:val="both"/>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除不可抗力外，如果供应商没有按照本合同约定的期限、地点和方式履行，那么采购人可要求供应商支付违约金，违约金按每迟延履行一日的应提供而未提供服务价格的0.1%计算，最高限额为本合同总价的5%；迟延履行的违约金计算数额达到前述最高限额之日起，采购人有权在要求供应商支付违约金的同时，书面通知供应商解除本合同；</w:t>
      </w:r>
    </w:p>
    <w:p w14:paraId="1288B0F9">
      <w:pPr>
        <w:pStyle w:val="3"/>
        <w:spacing w:line="560" w:lineRule="exact"/>
        <w:ind w:firstLine="560" w:firstLineChars="200"/>
        <w:jc w:val="both"/>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2.除不可抗力外，如果采购人没有按照本合同约定的付款方式付款，那么供应商可要求采购人支付违约金，违约金按每迟延付款一日的应付而未付款的0.1%计算，最高限额为本合同总价的5%；迟延付款的违约金计算数额达到前述最高限额之日起，供应商有权在要求采购人支付违约金的同时，书面通知采购人解除本合同；</w:t>
      </w:r>
    </w:p>
    <w:p w14:paraId="33FA4F86">
      <w:pPr>
        <w:pStyle w:val="3"/>
        <w:spacing w:line="560" w:lineRule="exact"/>
        <w:ind w:firstLine="560" w:firstLineChars="200"/>
        <w:jc w:val="both"/>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FD6F21C">
      <w:pPr>
        <w:pStyle w:val="3"/>
        <w:spacing w:line="560" w:lineRule="exact"/>
        <w:ind w:firstLine="560" w:firstLineChars="200"/>
        <w:jc w:val="both"/>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4.任何一方按照前述约定要求违约方支付违约金的同时，仍有权要求违约方继续履行合同、采取补救措施，并有权按照实际损失情况要求违约方赔偿损失；任何一方按照前述约定要求解除本合同的同时，仍有权要求违约方支付违约金和按照实际损失情况要求违约方赔偿损失；且守约方行使的任何权利救济方式均不视为其放弃了其他法定或者约定的权利救济方式；</w:t>
      </w:r>
    </w:p>
    <w:p w14:paraId="7C6C6268">
      <w:pPr>
        <w:pStyle w:val="3"/>
        <w:spacing w:line="560" w:lineRule="exact"/>
        <w:ind w:firstLine="560" w:firstLineChars="200"/>
        <w:jc w:val="both"/>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EFC20F3">
      <w:pPr>
        <w:pStyle w:val="3"/>
        <w:spacing w:line="560" w:lineRule="exact"/>
        <w:ind w:firstLine="560" w:firstLineChars="200"/>
        <w:jc w:val="both"/>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6.如果出现监督管理部门在处理投诉事项期间，书面通知采购人暂停采购活动的情形，或者询问或质疑事项可能影响成交结果的，导致采购人中止履行合同的情形，均不视为采购人违约。</w:t>
      </w:r>
    </w:p>
    <w:bookmarkEnd w:id="1"/>
    <w:p w14:paraId="479953CA">
      <w:pPr>
        <w:rPr>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50CF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E1CF2">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FAE1CF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BB"/>
    <w:rsid w:val="000127F9"/>
    <w:rsid w:val="0001449E"/>
    <w:rsid w:val="000829AD"/>
    <w:rsid w:val="00095040"/>
    <w:rsid w:val="000D77CE"/>
    <w:rsid w:val="001559BB"/>
    <w:rsid w:val="001A64C4"/>
    <w:rsid w:val="002D66D9"/>
    <w:rsid w:val="00304906"/>
    <w:rsid w:val="00415A24"/>
    <w:rsid w:val="004D21BA"/>
    <w:rsid w:val="00565498"/>
    <w:rsid w:val="00632A50"/>
    <w:rsid w:val="00743C9C"/>
    <w:rsid w:val="007536A7"/>
    <w:rsid w:val="009E62BE"/>
    <w:rsid w:val="00A05F9B"/>
    <w:rsid w:val="00D273A1"/>
    <w:rsid w:val="00EF5129"/>
    <w:rsid w:val="00FE5DE6"/>
    <w:rsid w:val="01374E54"/>
    <w:rsid w:val="014A102B"/>
    <w:rsid w:val="019404F8"/>
    <w:rsid w:val="01AD4F2A"/>
    <w:rsid w:val="01C7267B"/>
    <w:rsid w:val="02290C40"/>
    <w:rsid w:val="02462738"/>
    <w:rsid w:val="02650658"/>
    <w:rsid w:val="026B3007"/>
    <w:rsid w:val="03103BAE"/>
    <w:rsid w:val="031A4A2D"/>
    <w:rsid w:val="03BE360A"/>
    <w:rsid w:val="03C76963"/>
    <w:rsid w:val="03E1775F"/>
    <w:rsid w:val="041F054D"/>
    <w:rsid w:val="04357D70"/>
    <w:rsid w:val="044C50BA"/>
    <w:rsid w:val="047E3830"/>
    <w:rsid w:val="05616943"/>
    <w:rsid w:val="0575419C"/>
    <w:rsid w:val="05AA653C"/>
    <w:rsid w:val="067032E2"/>
    <w:rsid w:val="067F3525"/>
    <w:rsid w:val="067F52D3"/>
    <w:rsid w:val="06936FD0"/>
    <w:rsid w:val="06EB324A"/>
    <w:rsid w:val="070616BF"/>
    <w:rsid w:val="07195727"/>
    <w:rsid w:val="07391925"/>
    <w:rsid w:val="075449B1"/>
    <w:rsid w:val="07777AA5"/>
    <w:rsid w:val="07B611C8"/>
    <w:rsid w:val="07CF228A"/>
    <w:rsid w:val="08241A18"/>
    <w:rsid w:val="08420CAE"/>
    <w:rsid w:val="08601134"/>
    <w:rsid w:val="089A2898"/>
    <w:rsid w:val="08A74FB5"/>
    <w:rsid w:val="08FB2C0B"/>
    <w:rsid w:val="099A22A0"/>
    <w:rsid w:val="09AC4A1E"/>
    <w:rsid w:val="09B5725D"/>
    <w:rsid w:val="0A2C39C3"/>
    <w:rsid w:val="0A4D6DF4"/>
    <w:rsid w:val="0A6D18E6"/>
    <w:rsid w:val="0BFA364D"/>
    <w:rsid w:val="0C656D19"/>
    <w:rsid w:val="0CAF61E6"/>
    <w:rsid w:val="0CCF1932"/>
    <w:rsid w:val="0D330BC5"/>
    <w:rsid w:val="0D3606B5"/>
    <w:rsid w:val="0D71286D"/>
    <w:rsid w:val="0DA63A8D"/>
    <w:rsid w:val="0DB816CB"/>
    <w:rsid w:val="0DF02F5A"/>
    <w:rsid w:val="0DFE11D3"/>
    <w:rsid w:val="0EF10D38"/>
    <w:rsid w:val="0EFA4090"/>
    <w:rsid w:val="0F1A028E"/>
    <w:rsid w:val="0F3B6457"/>
    <w:rsid w:val="0F4672D5"/>
    <w:rsid w:val="0F7D200B"/>
    <w:rsid w:val="0F8C280E"/>
    <w:rsid w:val="0FB32491"/>
    <w:rsid w:val="1005689B"/>
    <w:rsid w:val="10FB5E9E"/>
    <w:rsid w:val="112847B9"/>
    <w:rsid w:val="11AA47D8"/>
    <w:rsid w:val="11B81FE1"/>
    <w:rsid w:val="120D40DA"/>
    <w:rsid w:val="12902616"/>
    <w:rsid w:val="12C81DAF"/>
    <w:rsid w:val="14261483"/>
    <w:rsid w:val="14A97C55"/>
    <w:rsid w:val="14B940A6"/>
    <w:rsid w:val="14C111AC"/>
    <w:rsid w:val="14C67172"/>
    <w:rsid w:val="14D709D0"/>
    <w:rsid w:val="151E03AD"/>
    <w:rsid w:val="152A4FA3"/>
    <w:rsid w:val="152F6116"/>
    <w:rsid w:val="157B7392"/>
    <w:rsid w:val="15997A33"/>
    <w:rsid w:val="15D8055B"/>
    <w:rsid w:val="160B0931"/>
    <w:rsid w:val="161D2412"/>
    <w:rsid w:val="16775FC6"/>
    <w:rsid w:val="17935082"/>
    <w:rsid w:val="18194E5B"/>
    <w:rsid w:val="18CB43A7"/>
    <w:rsid w:val="18D53478"/>
    <w:rsid w:val="19185113"/>
    <w:rsid w:val="19C77265"/>
    <w:rsid w:val="1A0F4768"/>
    <w:rsid w:val="1AE45BF4"/>
    <w:rsid w:val="1BA333BA"/>
    <w:rsid w:val="1BE063BC"/>
    <w:rsid w:val="1CB12E56"/>
    <w:rsid w:val="1CF3211F"/>
    <w:rsid w:val="1D063C00"/>
    <w:rsid w:val="1D556019"/>
    <w:rsid w:val="1DAA4ED3"/>
    <w:rsid w:val="1DBE097F"/>
    <w:rsid w:val="1DCF493A"/>
    <w:rsid w:val="1E127415"/>
    <w:rsid w:val="1E5310C7"/>
    <w:rsid w:val="1E707ECB"/>
    <w:rsid w:val="1EB37DB8"/>
    <w:rsid w:val="1F095831"/>
    <w:rsid w:val="1F30765A"/>
    <w:rsid w:val="1F65294C"/>
    <w:rsid w:val="1F8F25D3"/>
    <w:rsid w:val="1FCD4EA9"/>
    <w:rsid w:val="20140D2A"/>
    <w:rsid w:val="21246D4B"/>
    <w:rsid w:val="21A97250"/>
    <w:rsid w:val="221B63A0"/>
    <w:rsid w:val="22993768"/>
    <w:rsid w:val="22DD3655"/>
    <w:rsid w:val="23D22A8E"/>
    <w:rsid w:val="240370EB"/>
    <w:rsid w:val="24B228BF"/>
    <w:rsid w:val="25F52A64"/>
    <w:rsid w:val="26013AFE"/>
    <w:rsid w:val="26A61FB0"/>
    <w:rsid w:val="271E5FEA"/>
    <w:rsid w:val="2739191A"/>
    <w:rsid w:val="27B01338"/>
    <w:rsid w:val="282910EA"/>
    <w:rsid w:val="283A6E54"/>
    <w:rsid w:val="284B2E0F"/>
    <w:rsid w:val="288307FB"/>
    <w:rsid w:val="28904CC6"/>
    <w:rsid w:val="28E53263"/>
    <w:rsid w:val="28ED2118"/>
    <w:rsid w:val="290D4568"/>
    <w:rsid w:val="296028EA"/>
    <w:rsid w:val="299B7DC6"/>
    <w:rsid w:val="29FC6AB7"/>
    <w:rsid w:val="2A920FB0"/>
    <w:rsid w:val="2AE61515"/>
    <w:rsid w:val="2B255B99"/>
    <w:rsid w:val="2B4104F9"/>
    <w:rsid w:val="2C0A4D8F"/>
    <w:rsid w:val="2C657E08"/>
    <w:rsid w:val="2D0F6B01"/>
    <w:rsid w:val="2D7746A6"/>
    <w:rsid w:val="2D9708A4"/>
    <w:rsid w:val="2E123636"/>
    <w:rsid w:val="2E5D389C"/>
    <w:rsid w:val="2EF260ED"/>
    <w:rsid w:val="2F1E302B"/>
    <w:rsid w:val="2F453813"/>
    <w:rsid w:val="2F5051AF"/>
    <w:rsid w:val="2FBE65BC"/>
    <w:rsid w:val="304271ED"/>
    <w:rsid w:val="306929CC"/>
    <w:rsid w:val="30C16364"/>
    <w:rsid w:val="30C9346B"/>
    <w:rsid w:val="316B2774"/>
    <w:rsid w:val="317038E6"/>
    <w:rsid w:val="3193113C"/>
    <w:rsid w:val="322D0E25"/>
    <w:rsid w:val="322E5722"/>
    <w:rsid w:val="32981347"/>
    <w:rsid w:val="32990C1B"/>
    <w:rsid w:val="32E520FC"/>
    <w:rsid w:val="33087F7A"/>
    <w:rsid w:val="332826CA"/>
    <w:rsid w:val="33C323F3"/>
    <w:rsid w:val="33DE547F"/>
    <w:rsid w:val="33E74334"/>
    <w:rsid w:val="3422536C"/>
    <w:rsid w:val="342B1D46"/>
    <w:rsid w:val="346E05B1"/>
    <w:rsid w:val="3491604D"/>
    <w:rsid w:val="34D66156"/>
    <w:rsid w:val="351647A5"/>
    <w:rsid w:val="35373099"/>
    <w:rsid w:val="355A0B35"/>
    <w:rsid w:val="35661288"/>
    <w:rsid w:val="357A4D33"/>
    <w:rsid w:val="35E84393"/>
    <w:rsid w:val="36274529"/>
    <w:rsid w:val="366D6646"/>
    <w:rsid w:val="36730100"/>
    <w:rsid w:val="36E7289C"/>
    <w:rsid w:val="36F17277"/>
    <w:rsid w:val="3701378C"/>
    <w:rsid w:val="37117919"/>
    <w:rsid w:val="37182A56"/>
    <w:rsid w:val="3810372D"/>
    <w:rsid w:val="381F1BC2"/>
    <w:rsid w:val="387E4B3B"/>
    <w:rsid w:val="38AA1DD4"/>
    <w:rsid w:val="38D8249D"/>
    <w:rsid w:val="38E250CA"/>
    <w:rsid w:val="396957EB"/>
    <w:rsid w:val="39752736"/>
    <w:rsid w:val="39965EB4"/>
    <w:rsid w:val="3A1F234D"/>
    <w:rsid w:val="3A541FF7"/>
    <w:rsid w:val="3AA0523C"/>
    <w:rsid w:val="3AAD1707"/>
    <w:rsid w:val="3AC56A51"/>
    <w:rsid w:val="3B091033"/>
    <w:rsid w:val="3B295232"/>
    <w:rsid w:val="3B712735"/>
    <w:rsid w:val="3BB05953"/>
    <w:rsid w:val="3BF70E8C"/>
    <w:rsid w:val="3CB72D11"/>
    <w:rsid w:val="3D141F11"/>
    <w:rsid w:val="3D336385"/>
    <w:rsid w:val="3D3E0D3C"/>
    <w:rsid w:val="3D69400B"/>
    <w:rsid w:val="3D78424E"/>
    <w:rsid w:val="3D820C29"/>
    <w:rsid w:val="3D826E7B"/>
    <w:rsid w:val="3D995F73"/>
    <w:rsid w:val="3DF12C27"/>
    <w:rsid w:val="3DF53AF1"/>
    <w:rsid w:val="3E6447D3"/>
    <w:rsid w:val="3E7C1B1C"/>
    <w:rsid w:val="3EC040FF"/>
    <w:rsid w:val="3EC86B10"/>
    <w:rsid w:val="3EEF0540"/>
    <w:rsid w:val="3F15454A"/>
    <w:rsid w:val="3F310DEF"/>
    <w:rsid w:val="3F5E7474"/>
    <w:rsid w:val="3FD339BE"/>
    <w:rsid w:val="3FEC4A80"/>
    <w:rsid w:val="40786313"/>
    <w:rsid w:val="40855E87"/>
    <w:rsid w:val="409A44DC"/>
    <w:rsid w:val="42641245"/>
    <w:rsid w:val="42755200"/>
    <w:rsid w:val="42764AD5"/>
    <w:rsid w:val="42876CE2"/>
    <w:rsid w:val="42BF022A"/>
    <w:rsid w:val="42D53EF1"/>
    <w:rsid w:val="42DA7C6E"/>
    <w:rsid w:val="43601A0D"/>
    <w:rsid w:val="43AA0EDA"/>
    <w:rsid w:val="43E77A38"/>
    <w:rsid w:val="444959A1"/>
    <w:rsid w:val="448B2AB9"/>
    <w:rsid w:val="44CE6E4A"/>
    <w:rsid w:val="45124F88"/>
    <w:rsid w:val="455106D3"/>
    <w:rsid w:val="45576E3F"/>
    <w:rsid w:val="45F34DBA"/>
    <w:rsid w:val="45FD79E7"/>
    <w:rsid w:val="463827CD"/>
    <w:rsid w:val="468123C6"/>
    <w:rsid w:val="469A5235"/>
    <w:rsid w:val="46B3215A"/>
    <w:rsid w:val="46BA7A21"/>
    <w:rsid w:val="47574ED5"/>
    <w:rsid w:val="476F66C2"/>
    <w:rsid w:val="47F22E4F"/>
    <w:rsid w:val="481E59F2"/>
    <w:rsid w:val="483E6094"/>
    <w:rsid w:val="489F6B33"/>
    <w:rsid w:val="48DF33D4"/>
    <w:rsid w:val="48F21359"/>
    <w:rsid w:val="4944498D"/>
    <w:rsid w:val="494D47E1"/>
    <w:rsid w:val="49845D29"/>
    <w:rsid w:val="498875C7"/>
    <w:rsid w:val="49B52386"/>
    <w:rsid w:val="49FF3444"/>
    <w:rsid w:val="4A0D5D1E"/>
    <w:rsid w:val="4A5971B6"/>
    <w:rsid w:val="4A606EEC"/>
    <w:rsid w:val="4A742241"/>
    <w:rsid w:val="4A857FAB"/>
    <w:rsid w:val="4C3B4DC5"/>
    <w:rsid w:val="4C804ECE"/>
    <w:rsid w:val="4CC0351C"/>
    <w:rsid w:val="4CE03BBE"/>
    <w:rsid w:val="4D3D691B"/>
    <w:rsid w:val="4DA370C6"/>
    <w:rsid w:val="4EB7571D"/>
    <w:rsid w:val="4EF20375"/>
    <w:rsid w:val="4F0E67C1"/>
    <w:rsid w:val="4F860A4D"/>
    <w:rsid w:val="4FDB77FC"/>
    <w:rsid w:val="50306C0B"/>
    <w:rsid w:val="50334005"/>
    <w:rsid w:val="50346071"/>
    <w:rsid w:val="503C735D"/>
    <w:rsid w:val="507C3BFE"/>
    <w:rsid w:val="50A70C7B"/>
    <w:rsid w:val="51114346"/>
    <w:rsid w:val="512247A5"/>
    <w:rsid w:val="513D513B"/>
    <w:rsid w:val="51B3364F"/>
    <w:rsid w:val="51D81308"/>
    <w:rsid w:val="51F7178E"/>
    <w:rsid w:val="52020133"/>
    <w:rsid w:val="520619D1"/>
    <w:rsid w:val="52224331"/>
    <w:rsid w:val="52326C6A"/>
    <w:rsid w:val="52720822"/>
    <w:rsid w:val="527A38A4"/>
    <w:rsid w:val="52BB0A0D"/>
    <w:rsid w:val="52D95337"/>
    <w:rsid w:val="53114AD1"/>
    <w:rsid w:val="537B63EF"/>
    <w:rsid w:val="537C0633"/>
    <w:rsid w:val="5435659E"/>
    <w:rsid w:val="54825621"/>
    <w:rsid w:val="550A5C7C"/>
    <w:rsid w:val="55284354"/>
    <w:rsid w:val="553B29F8"/>
    <w:rsid w:val="55AF2380"/>
    <w:rsid w:val="55E71B19"/>
    <w:rsid w:val="56431446"/>
    <w:rsid w:val="565847C5"/>
    <w:rsid w:val="569A3030"/>
    <w:rsid w:val="56B440F1"/>
    <w:rsid w:val="57007337"/>
    <w:rsid w:val="574C432A"/>
    <w:rsid w:val="574F72AB"/>
    <w:rsid w:val="57B7297E"/>
    <w:rsid w:val="57C9470F"/>
    <w:rsid w:val="57F64296"/>
    <w:rsid w:val="589046EA"/>
    <w:rsid w:val="58EB36CF"/>
    <w:rsid w:val="5903310E"/>
    <w:rsid w:val="5A105AE3"/>
    <w:rsid w:val="5A160C1F"/>
    <w:rsid w:val="5A67147B"/>
    <w:rsid w:val="5A6A4AC7"/>
    <w:rsid w:val="5A955FE8"/>
    <w:rsid w:val="5AAE70AA"/>
    <w:rsid w:val="5AB346C0"/>
    <w:rsid w:val="5B1909C7"/>
    <w:rsid w:val="5B500161"/>
    <w:rsid w:val="5B555777"/>
    <w:rsid w:val="5B7756EE"/>
    <w:rsid w:val="5B7B463C"/>
    <w:rsid w:val="5B9C33A6"/>
    <w:rsid w:val="5BCE7A03"/>
    <w:rsid w:val="5BE82147"/>
    <w:rsid w:val="5C1004D6"/>
    <w:rsid w:val="5C3D06E5"/>
    <w:rsid w:val="5C471564"/>
    <w:rsid w:val="5CC44962"/>
    <w:rsid w:val="5D1458EA"/>
    <w:rsid w:val="5D4C40E9"/>
    <w:rsid w:val="5D5A0E23"/>
    <w:rsid w:val="5D9702C9"/>
    <w:rsid w:val="5E0A45F7"/>
    <w:rsid w:val="5E8C7702"/>
    <w:rsid w:val="5E9D5547"/>
    <w:rsid w:val="5EB6652D"/>
    <w:rsid w:val="5EEC01A1"/>
    <w:rsid w:val="5EF157B7"/>
    <w:rsid w:val="5F2711D9"/>
    <w:rsid w:val="5FE570CA"/>
    <w:rsid w:val="601B61F7"/>
    <w:rsid w:val="60786190"/>
    <w:rsid w:val="60936B26"/>
    <w:rsid w:val="60AF1486"/>
    <w:rsid w:val="60D629EE"/>
    <w:rsid w:val="61785D1C"/>
    <w:rsid w:val="61F47A98"/>
    <w:rsid w:val="6200643D"/>
    <w:rsid w:val="62436329"/>
    <w:rsid w:val="62571DD5"/>
    <w:rsid w:val="625A74DD"/>
    <w:rsid w:val="62652744"/>
    <w:rsid w:val="635F3637"/>
    <w:rsid w:val="638F4185"/>
    <w:rsid w:val="63B84AF5"/>
    <w:rsid w:val="63BC6393"/>
    <w:rsid w:val="654A5C21"/>
    <w:rsid w:val="654B3907"/>
    <w:rsid w:val="65842EE1"/>
    <w:rsid w:val="65BB010E"/>
    <w:rsid w:val="672524A2"/>
    <w:rsid w:val="67600EAC"/>
    <w:rsid w:val="676905E0"/>
    <w:rsid w:val="67A81366"/>
    <w:rsid w:val="67B11F87"/>
    <w:rsid w:val="67FC76A6"/>
    <w:rsid w:val="684E5A28"/>
    <w:rsid w:val="68BC0BE4"/>
    <w:rsid w:val="68D45F2D"/>
    <w:rsid w:val="69036813"/>
    <w:rsid w:val="694C04C6"/>
    <w:rsid w:val="698E432E"/>
    <w:rsid w:val="69A2602B"/>
    <w:rsid w:val="69D112C7"/>
    <w:rsid w:val="6A8D6CDC"/>
    <w:rsid w:val="6AD761A9"/>
    <w:rsid w:val="6AFC176B"/>
    <w:rsid w:val="6B3D24B0"/>
    <w:rsid w:val="6BAA566B"/>
    <w:rsid w:val="6BB107A8"/>
    <w:rsid w:val="6BCA186A"/>
    <w:rsid w:val="6CB2538C"/>
    <w:rsid w:val="6CF03552"/>
    <w:rsid w:val="6D351A1F"/>
    <w:rsid w:val="6D7D5D0F"/>
    <w:rsid w:val="6DE44E65"/>
    <w:rsid w:val="6DE56617"/>
    <w:rsid w:val="6E315BD0"/>
    <w:rsid w:val="6EAC5256"/>
    <w:rsid w:val="6ECB7AE7"/>
    <w:rsid w:val="6F2D283B"/>
    <w:rsid w:val="6F751AEC"/>
    <w:rsid w:val="6F885CC3"/>
    <w:rsid w:val="7047792D"/>
    <w:rsid w:val="70871AD7"/>
    <w:rsid w:val="71125845"/>
    <w:rsid w:val="711517D9"/>
    <w:rsid w:val="718A7AD1"/>
    <w:rsid w:val="71B2527A"/>
    <w:rsid w:val="720D24B0"/>
    <w:rsid w:val="725325B9"/>
    <w:rsid w:val="72C54B39"/>
    <w:rsid w:val="72F83160"/>
    <w:rsid w:val="737427E7"/>
    <w:rsid w:val="737722D7"/>
    <w:rsid w:val="7379604F"/>
    <w:rsid w:val="73880D3D"/>
    <w:rsid w:val="7400407A"/>
    <w:rsid w:val="74363F40"/>
    <w:rsid w:val="74626AE3"/>
    <w:rsid w:val="748051BB"/>
    <w:rsid w:val="74890514"/>
    <w:rsid w:val="751C0816"/>
    <w:rsid w:val="75A20899"/>
    <w:rsid w:val="75EF43A6"/>
    <w:rsid w:val="76402E54"/>
    <w:rsid w:val="766703E1"/>
    <w:rsid w:val="767C19B2"/>
    <w:rsid w:val="768A2321"/>
    <w:rsid w:val="769D2054"/>
    <w:rsid w:val="76F459ED"/>
    <w:rsid w:val="77D05337"/>
    <w:rsid w:val="78450BF6"/>
    <w:rsid w:val="784745AF"/>
    <w:rsid w:val="79222CE5"/>
    <w:rsid w:val="7A0D5743"/>
    <w:rsid w:val="7A721A4A"/>
    <w:rsid w:val="7ADC5955"/>
    <w:rsid w:val="7AF10BC1"/>
    <w:rsid w:val="7B02692A"/>
    <w:rsid w:val="7B643141"/>
    <w:rsid w:val="7B8A66C1"/>
    <w:rsid w:val="7B933A26"/>
    <w:rsid w:val="7BBE067F"/>
    <w:rsid w:val="7BCB1412"/>
    <w:rsid w:val="7C9C2DAE"/>
    <w:rsid w:val="7CB41EA6"/>
    <w:rsid w:val="7CBE2D25"/>
    <w:rsid w:val="7D2A03BA"/>
    <w:rsid w:val="7D2F59D0"/>
    <w:rsid w:val="7D4F1BCF"/>
    <w:rsid w:val="7DD6409E"/>
    <w:rsid w:val="7F211349"/>
    <w:rsid w:val="7F631961"/>
    <w:rsid w:val="7F9147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1"/>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jc w:val="left"/>
    </w:pPr>
    <w:rPr>
      <w:rFonts w:eastAsia="Calibri" w:cs="Times New Roman"/>
      <w:kern w:val="0"/>
      <w:sz w:val="20"/>
      <w:szCs w:val="20"/>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100" w:beforeAutospacing="1" w:after="100" w:afterAutospacing="1"/>
      <w:jc w:val="left"/>
    </w:pPr>
    <w:rPr>
      <w:rFonts w:ascii="宋体" w:hAnsi="宋体" w:cs="宋体"/>
      <w:kern w:val="0"/>
      <w:sz w:val="24"/>
      <w:szCs w:val="24"/>
    </w:rPr>
  </w:style>
  <w:style w:type="table" w:styleId="8">
    <w:name w:val="Table Grid"/>
    <w:basedOn w:val="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Heading1"/>
    <w:basedOn w:val="1"/>
    <w:next w:val="1"/>
    <w:qFormat/>
    <w:uiPriority w:val="0"/>
    <w:pPr>
      <w:jc w:val="left"/>
    </w:pPr>
    <w:rPr>
      <w:rFonts w:ascii="Times New Roman" w:hAnsi="Times New Roman" w:cs="Calibri"/>
      <w:b/>
      <w:bCs/>
      <w:kern w:val="44"/>
      <w:sz w:val="30"/>
      <w:szCs w:val="30"/>
    </w:rPr>
  </w:style>
  <w:style w:type="character" w:customStyle="1" w:styleId="11">
    <w:name w:val="标题 1 Char"/>
    <w:link w:val="2"/>
    <w:qFormat/>
    <w:uiPriority w:val="0"/>
    <w:rPr>
      <w:b/>
      <w:bCs/>
      <w:kern w:val="44"/>
      <w:sz w:val="44"/>
      <w:szCs w:val="44"/>
    </w:rPr>
  </w:style>
  <w:style w:type="paragraph" w:customStyle="1" w:styleId="12">
    <w:name w:val="列出段落1111"/>
    <w:basedOn w:val="1"/>
    <w:autoRedefine/>
    <w:qFormat/>
    <w:uiPriority w:val="0"/>
    <w:pPr>
      <w:ind w:left="720" w:firstLine="360"/>
      <w:textAlignment w:val="auto"/>
    </w:pPr>
    <w:rPr>
      <w:sz w:val="22"/>
      <w:szCs w:val="20"/>
      <w:lang w:eastAsia="en-US"/>
    </w:rPr>
  </w:style>
  <w:style w:type="character" w:customStyle="1" w:styleId="13">
    <w:name w:val="页眉 Char"/>
    <w:basedOn w:val="9"/>
    <w:link w:val="5"/>
    <w:qFormat/>
    <w:uiPriority w:val="0"/>
    <w:rPr>
      <w:rFonts w:ascii="Calibri" w:hAnsi="Calibri" w:eastAsia="宋体"/>
      <w:kern w:val="2"/>
      <w:sz w:val="18"/>
      <w:szCs w:val="18"/>
    </w:rPr>
  </w:style>
  <w:style w:type="character" w:customStyle="1" w:styleId="14">
    <w:name w:val="页脚 Char"/>
    <w:basedOn w:val="9"/>
    <w:link w:val="4"/>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4019</Words>
  <Characters>4157</Characters>
  <Lines>29</Lines>
  <Paragraphs>8</Paragraphs>
  <TotalTime>0</TotalTime>
  <ScaleCrop>false</ScaleCrop>
  <LinksUpToDate>false</LinksUpToDate>
  <CharactersWithSpaces>4168</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2026-05-28T06:58:00Z</dcterms:created>
  <dc:creator>Administrator</dc:creator>
  <cp:lastModifiedBy>王奥</cp:lastModifiedBy>
  <cp:lastPrinted>2026-06-30T01:39:00Z</cp:lastPrinted>
  <dcterms:modified xsi:type="dcterms:W3CDTF">2026-06-30T07:10:48Z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KSOTemplateDocerSaveRecord">
    <vt:lpwstr>eyJoZGlkIjoiZDMyMTY4MTZhYjczYjU1OTFlYThkOTZjMTVjZWI2ZTMiLCJ1c2VySWQiOiIzNjY2NzYzMjYifQ==</vt:lpwstr>
  </property>
  <property fmtid="{D5CDD505-2E9C-101B-9397-08002B2CF9AE}" pid="4" name="ICV">
    <vt:lpwstr>5C1A18218B87456086B2A2548C61562D_13</vt:lpwstr>
  </property>
</Properties>
</file>