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72A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附件1</w:t>
      </w:r>
    </w:p>
    <w:p w14:paraId="3DF2EC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center"/>
        <w:textAlignment w:val="center"/>
        <w:rPr>
          <w:rFonts w:hint="eastAsia" w:ascii="宋体" w:hAnsi="宋体" w:eastAsia="宋体" w:cs="宋体"/>
          <w:b/>
          <w:bCs/>
          <w:color w:val="000000"/>
          <w:sz w:val="36"/>
          <w:szCs w:val="36"/>
          <w:lang w:val="en-US" w:eastAsia="zh-CN" w:bidi="ar"/>
        </w:rPr>
      </w:pPr>
      <w:r>
        <w:rPr>
          <w:rFonts w:hint="eastAsia" w:ascii="宋体" w:hAnsi="宋体" w:eastAsia="宋体" w:cs="宋体"/>
          <w:b/>
          <w:bCs/>
          <w:color w:val="000000"/>
          <w:sz w:val="36"/>
          <w:szCs w:val="36"/>
          <w:lang w:val="en-US" w:eastAsia="zh-CN" w:bidi="ar"/>
        </w:rPr>
        <w:t>采购需求</w:t>
      </w:r>
    </w:p>
    <w:p w14:paraId="2964D79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center"/>
        <w:textAlignment w:val="center"/>
        <w:rPr>
          <w:rFonts w:hint="eastAsia" w:ascii="宋体" w:hAnsi="宋体" w:eastAsia="宋体" w:cs="宋体"/>
          <w:b/>
          <w:bCs/>
          <w:color w:val="000000"/>
          <w:sz w:val="36"/>
          <w:szCs w:val="36"/>
          <w:lang w:val="en-US" w:eastAsia="zh-CN" w:bidi="ar"/>
        </w:rPr>
      </w:pPr>
    </w:p>
    <w:p w14:paraId="236B5F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center"/>
        <w:textAlignment w:val="center"/>
        <w:rPr>
          <w:rFonts w:hint="eastAsia" w:ascii="宋体" w:hAnsi="宋体" w:eastAsia="宋体" w:cs="宋体"/>
          <w:b/>
          <w:bCs/>
          <w:color w:val="000000"/>
          <w:sz w:val="36"/>
          <w:szCs w:val="36"/>
          <w:lang w:val="en-US" w:eastAsia="zh-CN" w:bidi="ar"/>
        </w:rPr>
      </w:pPr>
    </w:p>
    <w:p w14:paraId="6378AE74">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both"/>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采购清单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1"/>
        <w:gridCol w:w="1215"/>
        <w:gridCol w:w="1120"/>
        <w:gridCol w:w="1361"/>
        <w:gridCol w:w="1362"/>
        <w:gridCol w:w="1357"/>
      </w:tblGrid>
      <w:tr w14:paraId="6F85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441" w:type="dxa"/>
            <w:vAlign w:val="center"/>
          </w:tcPr>
          <w:p w14:paraId="3C726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b w:val="0"/>
                <w:bCs w:val="0"/>
                <w:kern w:val="2"/>
                <w:sz w:val="28"/>
                <w:szCs w:val="28"/>
                <w:highlight w:val="none"/>
                <w:vertAlign w:val="baseline"/>
                <w:lang w:eastAsia="zh-CN"/>
              </w:rPr>
            </w:pPr>
            <w:r>
              <w:rPr>
                <w:rFonts w:hint="eastAsia" w:ascii="宋体" w:hAnsi="宋体" w:eastAsia="宋体" w:cs="宋体"/>
                <w:b w:val="0"/>
                <w:bCs w:val="0"/>
                <w:kern w:val="2"/>
                <w:sz w:val="28"/>
                <w:szCs w:val="28"/>
                <w:highlight w:val="none"/>
                <w:vertAlign w:val="baseline"/>
                <w:lang w:eastAsia="zh-CN"/>
              </w:rPr>
              <w:t>货物名称</w:t>
            </w:r>
          </w:p>
        </w:tc>
        <w:tc>
          <w:tcPr>
            <w:tcW w:w="1215" w:type="dxa"/>
            <w:vAlign w:val="center"/>
          </w:tcPr>
          <w:p w14:paraId="1AB274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b w:val="0"/>
                <w:bCs w:val="0"/>
                <w:kern w:val="2"/>
                <w:sz w:val="28"/>
                <w:szCs w:val="28"/>
                <w:highlight w:val="none"/>
                <w:vertAlign w:val="baseline"/>
                <w:lang w:eastAsia="zh-CN"/>
              </w:rPr>
            </w:pPr>
            <w:r>
              <w:rPr>
                <w:rFonts w:hint="eastAsia" w:ascii="宋体" w:hAnsi="宋体" w:eastAsia="宋体" w:cs="宋体"/>
                <w:b w:val="0"/>
                <w:bCs w:val="0"/>
                <w:kern w:val="2"/>
                <w:sz w:val="28"/>
                <w:szCs w:val="28"/>
                <w:highlight w:val="none"/>
                <w:vertAlign w:val="baseline"/>
                <w:lang w:eastAsia="zh-CN"/>
              </w:rPr>
              <w:t>数量</w:t>
            </w:r>
          </w:p>
        </w:tc>
        <w:tc>
          <w:tcPr>
            <w:tcW w:w="1120" w:type="dxa"/>
            <w:vAlign w:val="center"/>
          </w:tcPr>
          <w:p w14:paraId="0C6F4A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b w:val="0"/>
                <w:bCs w:val="0"/>
                <w:kern w:val="2"/>
                <w:sz w:val="28"/>
                <w:szCs w:val="28"/>
                <w:highlight w:val="none"/>
                <w:vertAlign w:val="baseline"/>
                <w:lang w:eastAsia="zh-CN"/>
              </w:rPr>
            </w:pPr>
            <w:r>
              <w:rPr>
                <w:rFonts w:hint="eastAsia" w:ascii="宋体" w:hAnsi="宋体" w:eastAsia="宋体" w:cs="宋体"/>
                <w:b w:val="0"/>
                <w:bCs w:val="0"/>
                <w:kern w:val="2"/>
                <w:sz w:val="28"/>
                <w:szCs w:val="28"/>
                <w:highlight w:val="none"/>
                <w:vertAlign w:val="baseline"/>
                <w:lang w:eastAsia="zh-CN"/>
              </w:rPr>
              <w:t>单位</w:t>
            </w:r>
          </w:p>
        </w:tc>
        <w:tc>
          <w:tcPr>
            <w:tcW w:w="1361" w:type="dxa"/>
            <w:vAlign w:val="center"/>
          </w:tcPr>
          <w:p w14:paraId="096AB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b w:val="0"/>
                <w:bCs w:val="0"/>
                <w:kern w:val="2"/>
                <w:sz w:val="28"/>
                <w:szCs w:val="28"/>
                <w:highlight w:val="none"/>
                <w:vertAlign w:val="baseline"/>
                <w:lang w:eastAsia="zh-CN"/>
              </w:rPr>
            </w:pPr>
            <w:r>
              <w:rPr>
                <w:rFonts w:hint="eastAsia" w:ascii="宋体" w:hAnsi="宋体" w:eastAsia="宋体" w:cs="宋体"/>
                <w:b w:val="0"/>
                <w:bCs w:val="0"/>
                <w:kern w:val="2"/>
                <w:sz w:val="28"/>
                <w:szCs w:val="28"/>
                <w:highlight w:val="none"/>
                <w:vertAlign w:val="baseline"/>
                <w:lang w:eastAsia="zh-CN"/>
              </w:rPr>
              <w:t>单价</w:t>
            </w:r>
          </w:p>
          <w:p w14:paraId="0C53DC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b w:val="0"/>
                <w:bCs w:val="0"/>
                <w:kern w:val="2"/>
                <w:sz w:val="28"/>
                <w:szCs w:val="28"/>
                <w:highlight w:val="none"/>
                <w:vertAlign w:val="baseline"/>
                <w:lang w:eastAsia="zh-CN"/>
              </w:rPr>
            </w:pPr>
            <w:r>
              <w:rPr>
                <w:rFonts w:hint="eastAsia" w:ascii="宋体" w:hAnsi="宋体" w:eastAsia="宋体" w:cs="宋体"/>
                <w:b w:val="0"/>
                <w:bCs w:val="0"/>
                <w:kern w:val="2"/>
                <w:sz w:val="28"/>
                <w:szCs w:val="28"/>
                <w:highlight w:val="none"/>
                <w:vertAlign w:val="baseline"/>
                <w:lang w:eastAsia="zh-CN"/>
              </w:rPr>
              <w:t>（元）</w:t>
            </w:r>
          </w:p>
        </w:tc>
        <w:tc>
          <w:tcPr>
            <w:tcW w:w="1362" w:type="dxa"/>
            <w:vAlign w:val="center"/>
          </w:tcPr>
          <w:p w14:paraId="3110A7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b w:val="0"/>
                <w:bCs w:val="0"/>
                <w:kern w:val="2"/>
                <w:sz w:val="28"/>
                <w:szCs w:val="28"/>
                <w:highlight w:val="none"/>
                <w:vertAlign w:val="baseline"/>
                <w:lang w:eastAsia="zh-CN"/>
              </w:rPr>
            </w:pPr>
            <w:r>
              <w:rPr>
                <w:rFonts w:hint="eastAsia" w:ascii="宋体" w:hAnsi="宋体" w:eastAsia="宋体" w:cs="宋体"/>
                <w:b w:val="0"/>
                <w:bCs w:val="0"/>
                <w:kern w:val="2"/>
                <w:sz w:val="28"/>
                <w:szCs w:val="28"/>
                <w:highlight w:val="none"/>
                <w:vertAlign w:val="baseline"/>
                <w:lang w:eastAsia="zh-CN"/>
              </w:rPr>
              <w:t>小计</w:t>
            </w:r>
          </w:p>
          <w:p w14:paraId="3FB26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b w:val="0"/>
                <w:bCs w:val="0"/>
                <w:kern w:val="2"/>
                <w:sz w:val="28"/>
                <w:szCs w:val="28"/>
                <w:highlight w:val="none"/>
                <w:vertAlign w:val="baseline"/>
                <w:lang w:eastAsia="zh-CN"/>
              </w:rPr>
            </w:pPr>
            <w:r>
              <w:rPr>
                <w:rFonts w:hint="eastAsia" w:ascii="宋体" w:hAnsi="宋体" w:eastAsia="宋体" w:cs="宋体"/>
                <w:b w:val="0"/>
                <w:bCs w:val="0"/>
                <w:kern w:val="2"/>
                <w:sz w:val="28"/>
                <w:szCs w:val="28"/>
                <w:highlight w:val="none"/>
                <w:vertAlign w:val="baseline"/>
                <w:lang w:eastAsia="zh-CN"/>
              </w:rPr>
              <w:t>（元）</w:t>
            </w:r>
          </w:p>
        </w:tc>
        <w:tc>
          <w:tcPr>
            <w:tcW w:w="1357" w:type="dxa"/>
            <w:vAlign w:val="center"/>
          </w:tcPr>
          <w:p w14:paraId="5CC3B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b w:val="0"/>
                <w:bCs w:val="0"/>
                <w:kern w:val="2"/>
                <w:sz w:val="28"/>
                <w:szCs w:val="28"/>
                <w:vertAlign w:val="baseline"/>
                <w:lang w:eastAsia="zh-CN"/>
              </w:rPr>
            </w:pPr>
            <w:r>
              <w:rPr>
                <w:rFonts w:hint="eastAsia" w:ascii="宋体" w:hAnsi="宋体" w:eastAsia="宋体" w:cs="宋体"/>
                <w:b w:val="0"/>
                <w:bCs w:val="0"/>
                <w:kern w:val="2"/>
                <w:sz w:val="28"/>
                <w:szCs w:val="28"/>
                <w:vertAlign w:val="baseline"/>
                <w:lang w:eastAsia="zh-CN"/>
              </w:rPr>
              <w:t>备注</w:t>
            </w:r>
          </w:p>
        </w:tc>
      </w:tr>
      <w:tr w14:paraId="482D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vAlign w:val="center"/>
          </w:tcPr>
          <w:p w14:paraId="3BF8E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b w:val="0"/>
                <w:bCs w:val="0"/>
                <w:kern w:val="2"/>
                <w:sz w:val="28"/>
                <w:szCs w:val="28"/>
                <w:highlight w:val="none"/>
                <w:vertAlign w:val="baseline"/>
                <w:lang w:eastAsia="zh-CN"/>
              </w:rPr>
            </w:pPr>
            <w:r>
              <w:rPr>
                <w:rFonts w:hint="eastAsia" w:ascii="宋体" w:hAnsi="宋体" w:eastAsia="宋体" w:cs="宋体"/>
                <w:b w:val="0"/>
                <w:bCs w:val="0"/>
                <w:kern w:val="2"/>
                <w:sz w:val="28"/>
                <w:szCs w:val="28"/>
                <w:highlight w:val="none"/>
                <w:vertAlign w:val="baseline"/>
                <w:lang w:eastAsia="zh-CN"/>
              </w:rPr>
              <w:t>牙科综合治疗椅</w:t>
            </w:r>
          </w:p>
        </w:tc>
        <w:tc>
          <w:tcPr>
            <w:tcW w:w="1215" w:type="dxa"/>
            <w:vAlign w:val="center"/>
          </w:tcPr>
          <w:p w14:paraId="78D28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default" w:ascii="宋体" w:hAnsi="宋体" w:eastAsia="宋体" w:cs="宋体"/>
                <w:b w:val="0"/>
                <w:bCs w:val="0"/>
                <w:kern w:val="2"/>
                <w:sz w:val="28"/>
                <w:szCs w:val="28"/>
                <w:highlight w:val="none"/>
                <w:vertAlign w:val="baseline"/>
                <w:lang w:val="en-US" w:eastAsia="zh-CN"/>
              </w:rPr>
            </w:pPr>
            <w:r>
              <w:rPr>
                <w:rFonts w:hint="eastAsia" w:ascii="宋体" w:hAnsi="宋体" w:eastAsia="宋体" w:cs="宋体"/>
                <w:b w:val="0"/>
                <w:bCs w:val="0"/>
                <w:kern w:val="2"/>
                <w:sz w:val="28"/>
                <w:szCs w:val="28"/>
                <w:highlight w:val="none"/>
                <w:vertAlign w:val="baseline"/>
                <w:lang w:val="en-US" w:eastAsia="zh-CN"/>
              </w:rPr>
              <w:t>2</w:t>
            </w:r>
          </w:p>
        </w:tc>
        <w:tc>
          <w:tcPr>
            <w:tcW w:w="1120" w:type="dxa"/>
            <w:vAlign w:val="center"/>
          </w:tcPr>
          <w:p w14:paraId="310D7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default" w:ascii="宋体" w:hAnsi="宋体" w:eastAsia="宋体" w:cs="宋体"/>
                <w:b w:val="0"/>
                <w:bCs w:val="0"/>
                <w:kern w:val="2"/>
                <w:sz w:val="28"/>
                <w:szCs w:val="28"/>
                <w:highlight w:val="none"/>
                <w:vertAlign w:val="baseline"/>
                <w:lang w:val="en-US" w:eastAsia="zh-CN"/>
              </w:rPr>
            </w:pPr>
            <w:r>
              <w:rPr>
                <w:rFonts w:hint="eastAsia" w:ascii="宋体" w:hAnsi="宋体" w:eastAsia="宋体" w:cs="宋体"/>
                <w:b w:val="0"/>
                <w:bCs w:val="0"/>
                <w:kern w:val="2"/>
                <w:sz w:val="28"/>
                <w:szCs w:val="28"/>
                <w:highlight w:val="none"/>
                <w:vertAlign w:val="baseline"/>
                <w:lang w:val="en-US" w:eastAsia="zh-CN"/>
              </w:rPr>
              <w:t>套</w:t>
            </w:r>
          </w:p>
        </w:tc>
        <w:tc>
          <w:tcPr>
            <w:tcW w:w="1361" w:type="dxa"/>
            <w:vAlign w:val="center"/>
          </w:tcPr>
          <w:p w14:paraId="1C25E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default" w:ascii="宋体" w:hAnsi="宋体" w:eastAsia="宋体" w:cs="宋体"/>
                <w:b w:val="0"/>
                <w:bCs w:val="0"/>
                <w:kern w:val="2"/>
                <w:sz w:val="28"/>
                <w:szCs w:val="28"/>
                <w:highlight w:val="none"/>
                <w:vertAlign w:val="baseline"/>
                <w:lang w:val="en-US" w:eastAsia="zh-CN"/>
              </w:rPr>
            </w:pPr>
            <w:r>
              <w:rPr>
                <w:rFonts w:hint="eastAsia" w:ascii="宋体" w:hAnsi="宋体" w:eastAsia="宋体" w:cs="宋体"/>
                <w:b w:val="0"/>
                <w:bCs w:val="0"/>
                <w:kern w:val="2"/>
                <w:sz w:val="28"/>
                <w:szCs w:val="28"/>
                <w:highlight w:val="none"/>
                <w:vertAlign w:val="baseline"/>
                <w:lang w:val="en-US" w:eastAsia="zh-CN"/>
              </w:rPr>
              <w:t>40000</w:t>
            </w:r>
          </w:p>
        </w:tc>
        <w:tc>
          <w:tcPr>
            <w:tcW w:w="1362" w:type="dxa"/>
            <w:vAlign w:val="center"/>
          </w:tcPr>
          <w:p w14:paraId="3A5A5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default" w:ascii="宋体" w:hAnsi="宋体" w:eastAsia="宋体" w:cs="宋体"/>
                <w:b w:val="0"/>
                <w:bCs w:val="0"/>
                <w:kern w:val="2"/>
                <w:sz w:val="28"/>
                <w:szCs w:val="28"/>
                <w:highlight w:val="none"/>
                <w:vertAlign w:val="baseline"/>
                <w:lang w:val="en-US" w:eastAsia="zh-CN"/>
              </w:rPr>
            </w:pPr>
            <w:r>
              <w:rPr>
                <w:rFonts w:hint="eastAsia" w:ascii="宋体" w:hAnsi="宋体" w:eastAsia="宋体" w:cs="宋体"/>
                <w:b w:val="0"/>
                <w:bCs w:val="0"/>
                <w:kern w:val="2"/>
                <w:sz w:val="28"/>
                <w:szCs w:val="28"/>
                <w:highlight w:val="none"/>
                <w:vertAlign w:val="baseline"/>
                <w:lang w:val="en-US" w:eastAsia="zh-CN"/>
              </w:rPr>
              <w:t>80000</w:t>
            </w:r>
          </w:p>
        </w:tc>
        <w:tc>
          <w:tcPr>
            <w:tcW w:w="1357" w:type="dxa"/>
            <w:vMerge w:val="restart"/>
            <w:vAlign w:val="center"/>
          </w:tcPr>
          <w:p w14:paraId="33DFCE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default" w:ascii="宋体" w:hAnsi="宋体" w:eastAsia="宋体" w:cs="宋体"/>
                <w:b w:val="0"/>
                <w:bCs w:val="0"/>
                <w:kern w:val="2"/>
                <w:sz w:val="28"/>
                <w:szCs w:val="28"/>
                <w:vertAlign w:val="baseline"/>
                <w:lang w:val="en-US" w:eastAsia="zh-CN"/>
              </w:rPr>
            </w:pPr>
          </w:p>
        </w:tc>
      </w:tr>
      <w:tr w14:paraId="65CF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vAlign w:val="center"/>
          </w:tcPr>
          <w:p w14:paraId="5AF30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b w:val="0"/>
                <w:bCs w:val="0"/>
                <w:kern w:val="2"/>
                <w:sz w:val="28"/>
                <w:szCs w:val="28"/>
                <w:highlight w:val="none"/>
                <w:vertAlign w:val="baseline"/>
                <w:lang w:eastAsia="zh-CN"/>
              </w:rPr>
            </w:pPr>
          </w:p>
        </w:tc>
        <w:tc>
          <w:tcPr>
            <w:tcW w:w="1215" w:type="dxa"/>
            <w:vAlign w:val="center"/>
          </w:tcPr>
          <w:p w14:paraId="7EB8A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b w:val="0"/>
                <w:bCs w:val="0"/>
                <w:kern w:val="2"/>
                <w:sz w:val="28"/>
                <w:szCs w:val="28"/>
                <w:highlight w:val="none"/>
                <w:vertAlign w:val="baseline"/>
                <w:lang w:val="en-US" w:eastAsia="zh-CN"/>
              </w:rPr>
            </w:pPr>
          </w:p>
        </w:tc>
        <w:tc>
          <w:tcPr>
            <w:tcW w:w="1120" w:type="dxa"/>
            <w:vAlign w:val="center"/>
          </w:tcPr>
          <w:p w14:paraId="25465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b w:val="0"/>
                <w:bCs w:val="0"/>
                <w:kern w:val="2"/>
                <w:sz w:val="28"/>
                <w:szCs w:val="28"/>
                <w:highlight w:val="none"/>
                <w:vertAlign w:val="baseline"/>
                <w:lang w:val="en-US" w:eastAsia="zh-CN"/>
              </w:rPr>
            </w:pPr>
          </w:p>
        </w:tc>
        <w:tc>
          <w:tcPr>
            <w:tcW w:w="1361" w:type="dxa"/>
            <w:vAlign w:val="center"/>
          </w:tcPr>
          <w:p w14:paraId="5FF0C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b w:val="0"/>
                <w:bCs w:val="0"/>
                <w:kern w:val="2"/>
                <w:sz w:val="28"/>
                <w:szCs w:val="28"/>
                <w:highlight w:val="none"/>
                <w:vertAlign w:val="baseline"/>
                <w:lang w:val="en-US" w:eastAsia="zh-CN"/>
              </w:rPr>
            </w:pPr>
          </w:p>
        </w:tc>
        <w:tc>
          <w:tcPr>
            <w:tcW w:w="1362" w:type="dxa"/>
            <w:vAlign w:val="center"/>
          </w:tcPr>
          <w:p w14:paraId="68A231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b w:val="0"/>
                <w:bCs w:val="0"/>
                <w:kern w:val="2"/>
                <w:sz w:val="28"/>
                <w:szCs w:val="28"/>
                <w:highlight w:val="none"/>
                <w:vertAlign w:val="baseline"/>
                <w:lang w:val="en-US" w:eastAsia="zh-CN"/>
              </w:rPr>
            </w:pPr>
          </w:p>
        </w:tc>
        <w:tc>
          <w:tcPr>
            <w:tcW w:w="1357" w:type="dxa"/>
            <w:vMerge w:val="continue"/>
            <w:vAlign w:val="center"/>
          </w:tcPr>
          <w:p w14:paraId="688E30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b w:val="0"/>
                <w:bCs w:val="0"/>
                <w:kern w:val="2"/>
                <w:sz w:val="28"/>
                <w:szCs w:val="28"/>
                <w:vertAlign w:val="baseline"/>
                <w:lang w:val="en-US" w:eastAsia="zh-CN"/>
              </w:rPr>
            </w:pPr>
          </w:p>
        </w:tc>
      </w:tr>
      <w:tr w14:paraId="151C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7" w:type="dxa"/>
            <w:gridSpan w:val="4"/>
            <w:vAlign w:val="center"/>
          </w:tcPr>
          <w:p w14:paraId="006253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b w:val="0"/>
                <w:bCs w:val="0"/>
                <w:kern w:val="2"/>
                <w:sz w:val="28"/>
                <w:szCs w:val="28"/>
                <w:vertAlign w:val="baseline"/>
                <w:lang w:eastAsia="zh-CN"/>
              </w:rPr>
            </w:pPr>
            <w:r>
              <w:rPr>
                <w:rFonts w:hint="eastAsia" w:ascii="宋体" w:hAnsi="宋体" w:eastAsia="宋体" w:cs="宋体"/>
                <w:b w:val="0"/>
                <w:bCs w:val="0"/>
                <w:kern w:val="2"/>
                <w:sz w:val="28"/>
                <w:szCs w:val="28"/>
                <w:vertAlign w:val="baseline"/>
                <w:lang w:eastAsia="zh-CN"/>
              </w:rPr>
              <w:t>合计（元）</w:t>
            </w:r>
          </w:p>
        </w:tc>
        <w:tc>
          <w:tcPr>
            <w:tcW w:w="1362" w:type="dxa"/>
            <w:vAlign w:val="center"/>
          </w:tcPr>
          <w:p w14:paraId="2E3C6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default" w:ascii="宋体" w:hAnsi="宋体" w:eastAsia="宋体" w:cs="宋体"/>
                <w:b w:val="0"/>
                <w:bCs w:val="0"/>
                <w:kern w:val="2"/>
                <w:sz w:val="28"/>
                <w:szCs w:val="28"/>
                <w:vertAlign w:val="baseline"/>
                <w:lang w:val="en-US" w:eastAsia="zh-CN"/>
              </w:rPr>
            </w:pPr>
            <w:r>
              <w:rPr>
                <w:rFonts w:hint="eastAsia" w:ascii="宋体" w:hAnsi="宋体" w:eastAsia="宋体" w:cs="宋体"/>
                <w:b w:val="0"/>
                <w:bCs w:val="0"/>
                <w:kern w:val="2"/>
                <w:sz w:val="28"/>
                <w:szCs w:val="28"/>
                <w:vertAlign w:val="baseline"/>
                <w:lang w:val="en-US" w:eastAsia="zh-CN"/>
              </w:rPr>
              <w:t>80000</w:t>
            </w:r>
          </w:p>
        </w:tc>
        <w:tc>
          <w:tcPr>
            <w:tcW w:w="1357" w:type="dxa"/>
            <w:vMerge w:val="continue"/>
            <w:vAlign w:val="center"/>
          </w:tcPr>
          <w:p w14:paraId="7860E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b w:val="0"/>
                <w:bCs w:val="0"/>
                <w:kern w:val="2"/>
                <w:sz w:val="28"/>
                <w:szCs w:val="28"/>
                <w:vertAlign w:val="baseline"/>
                <w:lang w:val="en-US" w:eastAsia="zh-CN"/>
              </w:rPr>
            </w:pPr>
          </w:p>
        </w:tc>
      </w:tr>
    </w:tbl>
    <w:p w14:paraId="2D5DCA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right="0" w:rightChars="0" w:firstLine="560" w:firstLineChars="20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说明：因各制造商产品注册名称等信息的差异，响应文件产品名称可以不限于询价文件名称，但产品功能、性能指标必须满足技术参数及临床使用要求。</w:t>
      </w:r>
    </w:p>
    <w:p w14:paraId="7372EEE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二、技术参数</w:t>
      </w:r>
    </w:p>
    <w:p w14:paraId="389A61CD">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（一）整机基础参数及控制系统</w:t>
      </w:r>
    </w:p>
    <w:p w14:paraId="1CE89E72">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★1、牙科综合治疗椅：第二类或第三类医疗器械</w:t>
      </w:r>
    </w:p>
    <w:p w14:paraId="29A64259">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2、输入功率：350VA</w:t>
      </w:r>
    </w:p>
    <w:p w14:paraId="5F709F3D">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3、按防电击类型分类：I类  B型</w:t>
      </w:r>
    </w:p>
    <w:p w14:paraId="5C54801C">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4、电源：交流220V，控制系统：24V安全低电压控制，规避高电压操作风险</w:t>
      </w:r>
    </w:p>
    <w:p w14:paraId="28FE9855">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5、输入气压：0.55---0.6MPa，流量≥50L/min</w:t>
      </w:r>
    </w:p>
    <w:p w14:paraId="72B8DF20">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6、输入水压：0.2---0.4Mpa，流量≥10L/min</w:t>
      </w:r>
    </w:p>
    <w:p w14:paraId="0503DBFC">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★7、控制系统采用双主控控制，医生位、助手位功能按键完全相同，主医生位、助手位操作面板非镶嵌在器械盘内，便于护士操作，让医师专注于治疗。</w:t>
      </w:r>
    </w:p>
    <w:p w14:paraId="6ECEB73A">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8、平面硬质触摸控制面板，非覆膜式，操作便捷，不会穿孔破损</w:t>
      </w:r>
    </w:p>
    <w:p w14:paraId="4BBC321D">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9、漱口、冲盂水水量、漱口水水温，可调节并显示在液晶显示器上。</w:t>
      </w:r>
    </w:p>
    <w:p w14:paraId="248203C0">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10、吐痰位一键操控，靠背自动运行至吐痰位，口腔灯自动熄灭，冲盂水自动开启，靠背恢复治疗位，口腔灯自动开启，冲盂水自动关闭</w:t>
      </w:r>
    </w:p>
    <w:p w14:paraId="53C71B28">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★11、灯立柱落地结构，整机稳定性更高，牙椅与口腔灯、器械盘系统相互不干扰，适合开展种植等手术</w:t>
      </w:r>
    </w:p>
    <w:p w14:paraId="77718458">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（二）牙科椅</w:t>
      </w:r>
    </w:p>
    <w:p w14:paraId="302566F5">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1、机械运行机构：靠背高支点转点，有效改善靠背运行致病员推搓背的不适感</w:t>
      </w:r>
    </w:p>
    <w:p w14:paraId="67551838">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2、驱动系统：24V静音直流电机，运行平稳</w:t>
      </w:r>
    </w:p>
    <w:p w14:paraId="46E288BF">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3、座椅最低位≤370mm，方便老人、儿童上下椅位；便于医师对于上颌牙的治疗操作</w:t>
      </w:r>
    </w:p>
    <w:p w14:paraId="75E4B312">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4、座椅最高位≥800mm，处于抢救位，方便医师急救操作</w:t>
      </w:r>
    </w:p>
    <w:p w14:paraId="1ED664A8">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5、最大负载：≥150Kg</w:t>
      </w:r>
    </w:p>
    <w:p w14:paraId="1BEB7F46">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（三）治疗机</w:t>
      </w:r>
    </w:p>
    <w:p w14:paraId="5A58EAF1">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1、机箱材质：高分子材料，不变形、不变色</w:t>
      </w:r>
    </w:p>
    <w:p w14:paraId="1B973619">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2、强吸负压：≥ 27kPa；弱吸负压：≥ 10kPa</w:t>
      </w:r>
    </w:p>
    <w:p w14:paraId="5E77FEE0">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3、24V恒温加热系统：40℃±5℃</w:t>
      </w:r>
    </w:p>
    <w:p w14:paraId="3B973406">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4、痰盂：可旋转透明玻璃痰盂，内高外低，防溢溅，可拆卸、方便清洗。冲盂、漱口水嘴材质为不低于全不锈钢。</w:t>
      </w:r>
    </w:p>
    <w:p w14:paraId="26E52728">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5、可旋转助手架：强弱吸管极短管路设计，强弱吸管、三用枪管在牙椅处于最低位时也不会拖地；管路重量轻，提高吸唾时病员舒适感；助手架挂载一体式强弱吸过滤杯，远离痰盂，更加卫生，清洗方便</w:t>
      </w:r>
    </w:p>
    <w:p w14:paraId="168324B1">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6、手机供水系统：蒸馏水、自来水可切换双路供水</w:t>
      </w:r>
    </w:p>
    <w:p w14:paraId="343A815A">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（四）口腔灯</w:t>
      </w:r>
    </w:p>
    <w:p w14:paraId="028D0B54">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1、LED-AZS冷光无影口腔灯：红外感应、液晶屏触摸双控调节</w:t>
      </w:r>
    </w:p>
    <w:p w14:paraId="0A5D2843">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2、照度调节范围≤8000lux；≥60000lux；色温：4000K-5500K七档，液晶数显触摸调节</w:t>
      </w:r>
    </w:p>
    <w:p w14:paraId="1AA34B05">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3、具备光固化模式，降低LED光对树脂材料影响</w:t>
      </w:r>
    </w:p>
    <w:p w14:paraId="4F9469B9">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4、光斑≥80X120mm,成型方正，布光均匀，无影效果佳</w:t>
      </w:r>
    </w:p>
    <w:p w14:paraId="19FABBCF">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★（五）双器械盘配置要求</w:t>
      </w:r>
    </w:p>
    <w:p w14:paraId="18354FCC">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1、主器械盘整体注塑，配备成型贴合硅胶衬垫，可拆卸、易清洁</w:t>
      </w:r>
    </w:p>
    <w:p w14:paraId="2E5684D0">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2、副器械盘：配置304不锈钢手术托盘，可拆卸、可消毒</w:t>
      </w:r>
    </w:p>
    <w:p w14:paraId="07CCFB89">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3、双器械盘设计便于放置各种手术器械及设备</w:t>
      </w:r>
    </w:p>
    <w:p w14:paraId="0D876C05">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（六）脚踏开关</w:t>
      </w:r>
    </w:p>
    <w:p w14:paraId="5A31751F">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1、组合式脚踏开关，可控冲盂、漱口水，操作便捷</w:t>
      </w:r>
    </w:p>
    <w:p w14:paraId="79B687B7">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2、踩压灵敏，操作简单、可靠</w:t>
      </w:r>
    </w:p>
    <w:p w14:paraId="7EB157A9">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（七）医生座椅</w:t>
      </w:r>
    </w:p>
    <w:p w14:paraId="57A5D222">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1、靠背可旋转角度，范围：≥300°，满足不同体位的治疗需求</w:t>
      </w:r>
    </w:p>
    <w:p w14:paraId="4064FFB5">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2、椅位升降可调节，范围140mm-160mm</w:t>
      </w:r>
    </w:p>
    <w:p w14:paraId="22ADE4D5">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3、铝合金五星脚架，坚固耐用</w:t>
      </w:r>
    </w:p>
    <w:p w14:paraId="62D60FFB">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（八）高速手机</w:t>
      </w:r>
    </w:p>
    <w:p w14:paraId="0A41537A">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1、夹针方式:按压式</w:t>
      </w:r>
    </w:p>
    <w:p w14:paraId="7FA5630A">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2、转速：≥300000r/min</w:t>
      </w:r>
    </w:p>
    <w:p w14:paraId="0CB595B4">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3、单点喷雾</w:t>
      </w:r>
    </w:p>
    <w:p w14:paraId="100ACF77">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4、纤细的设计，不锈钢机身</w:t>
      </w:r>
    </w:p>
    <w:p w14:paraId="16B94B8A">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5、精密陶瓷球形轴承</w:t>
      </w:r>
    </w:p>
    <w:p w14:paraId="34DDD91A">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6、卫生机头系统</w:t>
      </w:r>
    </w:p>
    <w:p w14:paraId="12F6C2F4">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7、可进行不低于135度高温高压蒸汽消毒</w:t>
      </w:r>
    </w:p>
    <w:p w14:paraId="0F6C5E68">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（九）低速气马达手机</w:t>
      </w:r>
    </w:p>
    <w:p w14:paraId="58983626">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1、转速≥4000r/min</w:t>
      </w:r>
    </w:p>
    <w:p w14:paraId="5E8E9FC1">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2、弯机的夹持力≥45N</w:t>
      </w:r>
    </w:p>
    <w:p w14:paraId="47FB766C">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3、工作噪音 ≤70dB</w:t>
      </w:r>
    </w:p>
    <w:p w14:paraId="6FFE516E">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4、可进行不低于135度高温高压蒸汽消毒</w:t>
      </w:r>
    </w:p>
    <w:p w14:paraId="29FA1DA0">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5、可以与符合国际标准制作的马达相连接</w:t>
      </w:r>
    </w:p>
    <w:p w14:paraId="288BFE5F">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（十）配置要求</w:t>
      </w:r>
    </w:p>
    <w:p w14:paraId="6BE16C3A">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1、进口品牌高速手机                      2支</w:t>
      </w:r>
    </w:p>
    <w:p w14:paraId="32092B7C">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2、进口品牌低速手机（含直、弯机头各一）  1套</w:t>
      </w:r>
    </w:p>
    <w:p w14:paraId="6959446C">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3、内置洁牙机                            1台</w:t>
      </w:r>
    </w:p>
    <w:p w14:paraId="1595B181">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4、内置光固化机                          1台</w:t>
      </w:r>
    </w:p>
    <w:p w14:paraId="7244B9DC">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5、标准医生座椅                          1张</w:t>
      </w:r>
    </w:p>
    <w:p w14:paraId="794EC987">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6、口腔内窥镜                            1套</w:t>
      </w:r>
    </w:p>
    <w:p w14:paraId="0CCE87C9">
      <w:pPr>
        <w:pStyle w:val="7"/>
        <w:keepNext w:val="0"/>
        <w:keepLines w:val="0"/>
        <w:pageBreakBefore w:val="0"/>
        <w:widowControl/>
        <w:kinsoku/>
        <w:wordWrap/>
        <w:overflowPunct/>
        <w:topLinePunct w:val="0"/>
        <w:autoSpaceDE/>
        <w:autoSpaceDN/>
        <w:bidi w:val="0"/>
        <w:adjustRightInd/>
        <w:snapToGrid/>
        <w:spacing w:after="0" w:afterLines="0" w:line="360" w:lineRule="auto"/>
        <w:ind w:left="0" w:right="0" w:firstLine="3"/>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（十一）产品使用年限：≥15年，</w:t>
      </w:r>
    </w:p>
    <w:p w14:paraId="738335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 xml:space="preserve">三、质保及售后服务 </w:t>
      </w:r>
    </w:p>
    <w:p w14:paraId="22429B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1.所投产品（含零部件、配件等）必须完全符合询价文件规定的技术参数，保证所供货物必须符合国家（强制性）标准或行业标准及各项规范要求，须是 2025年 6 月 1 日后生产的（以生产日期为准），同时须确保与招标人现有已存在的设备及系统无缝对接，保证使用的连贯性及有效性（如需）；保证所供货物及其配置附件供货渠道合法，是配套齐全、全新未用的原装合格正品（不接受 OEM 组装或拼装产品），所投产品同批次产品无被召回情况。所投产品如需要计量检定的，需提供相关计量检定部门出具的合法检定报告；如需安装或配置软件的，需为正</w:t>
      </w:r>
    </w:p>
    <w:p w14:paraId="077C579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 xml:space="preserve">版软件。 </w:t>
      </w:r>
    </w:p>
    <w:p w14:paraId="58BAF2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2.提供整机（含管路等易损件））质保≥3 年，保修期内免费更换零配件、免工时费。每年度提供不少于1次定期巡检服务及预防性维护保养服务并出具完整的服务报告。</w:t>
      </w:r>
    </w:p>
    <w:p w14:paraId="4113B0B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3.质保期间保证机器的完好率不低于 95%（按一年 365 个日历日计算，故障停机不超过 18 个日历日），每超出 1 天，质保期顺延 2 天；产品生命周期内提供终生的技术支持、机器专用软件和相应数据库资料的软硬件免费安全更新升级服务。保修期满后，供应商终生提供维修服务及零配件供应，维修只收取材料成本费，免收上门等费用；遇到机器故障，发生医患纠纷，造成重大影响由供应商承担相应责任并承担所有损失，包含但不限于经济赔偿责任。</w:t>
      </w:r>
    </w:p>
    <w:p w14:paraId="60E42F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4.投标人须向招标人提供保修服务，包括但不限于电话咨询服务、现场维修服务，保证 2 小时内响应，24 小时内故障修复（不可抗拒力量下除外）。如 48 小时内无法修复的，应提供备用机器，以保障临床诊疗工作。3 个月内连续出现同样的故障问题时，供应商负责免费更换同型号全新产品。</w:t>
      </w:r>
    </w:p>
    <w:p w14:paraId="6BC70B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5.涉及医院信息系统接入要求，须无条件开放设备信息端口和端口文件，且必须支持现行软件系统国家标准与国际标准接口规范，并提供技术支持和承担各项相关费用。</w:t>
      </w:r>
    </w:p>
    <w:p w14:paraId="2E3BF2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6.投标人或所投产品制造商应设有专业的售后服务维修机构，有充足的零件储备和能力相当的技术服务人员，并保证投标产品停产至少 5 年的备件供应；能够提供专业人员现场操作和培训；能够提供专用工具及三级以上医院相关专家技术服务和学术支持。</w:t>
      </w:r>
    </w:p>
    <w:p w14:paraId="1E4EE2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四、其他要求</w:t>
      </w:r>
    </w:p>
    <w:p w14:paraId="6506BA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1.询价文件要求的采购需求仅作为说明，并没有限制性，投标人在投标中可以选用替代标准，但这些替代标准要优于或相当于采购需求中要求的标准，以满足招标人的需要。</w:t>
      </w:r>
    </w:p>
    <w:p w14:paraId="3564EC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2.采购需求中技术参数，不得负偏离，必须全部满足采购需求；其中标“★”参数为重要参数。响应文件中须提供有效技术支持资料作为佐证（不接受投标人自行印刷、打印或者手写的技术支持资料）</w:t>
      </w:r>
      <w:r>
        <w:rPr>
          <w:rFonts w:hint="eastAsia" w:ascii="宋体" w:hAnsi="宋体" w:eastAsia="宋体" w:cs="宋体"/>
          <w:b w:val="0"/>
          <w:bCs w:val="0"/>
          <w:color w:val="000000"/>
          <w:sz w:val="28"/>
          <w:szCs w:val="28"/>
          <w:lang w:val="en-US" w:eastAsia="zh-CN" w:bidi="ar"/>
        </w:rPr>
        <w:t>，包括医疗器械产品注册证或符合国家相关标准的检验报告或鉴定证书或测试证书（报告）或产品认证报告或产</w:t>
      </w:r>
      <w:bookmarkStart w:id="0" w:name="_GoBack"/>
      <w:bookmarkEnd w:id="0"/>
      <w:r>
        <w:rPr>
          <w:rFonts w:hint="eastAsia" w:ascii="宋体" w:hAnsi="宋体" w:eastAsia="宋体" w:cs="宋体"/>
          <w:b w:val="0"/>
          <w:bCs w:val="0"/>
          <w:color w:val="000000"/>
          <w:sz w:val="28"/>
          <w:szCs w:val="28"/>
          <w:lang w:val="en-US" w:eastAsia="zh-CN" w:bidi="ar"/>
        </w:rPr>
        <w:t>品制造商官网产品参数截图或软件系统功能截图或产品彩页或产品使用说明书或主机操作面板实物图或设备铭牌（加框标记），逐项响应并标明所在页码，</w:t>
      </w:r>
      <w:r>
        <w:rPr>
          <w:rFonts w:hint="eastAsia" w:ascii="宋体" w:hAnsi="宋体" w:eastAsia="宋体" w:cs="宋体"/>
          <w:b w:val="0"/>
          <w:bCs w:val="0"/>
          <w:color w:val="000000"/>
          <w:sz w:val="28"/>
          <w:szCs w:val="28"/>
          <w:lang w:val="en-US" w:eastAsia="zh-CN" w:bidi="ar"/>
        </w:rPr>
        <w:t>以利于评委查找。要求：字迹清晰、要素齐全。</w:t>
      </w:r>
    </w:p>
    <w:p w14:paraId="1B6A58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3.响应文件中须提供所投设备的配置清单（含选配件&lt;如有&gt;）。清单须列明配齐满足技术性能且正常使用所需要的所有附件，招标人无需另外购置即可满足需求。</w:t>
      </w:r>
    </w:p>
    <w:p w14:paraId="1911DB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4.响应文件中须提供所投设备零配件、易损件（备品备件）或消耗品及配套使用的相关耗材目录（含报价），标明品牌、规格型号、产地、生产厂家、27 位医保编码（如有）等并分项独立报价。报价不计入投标总价，招标人作为产品全生命周期运行维护成本依据（格式自拟，标注专用/通用）。</w:t>
      </w:r>
    </w:p>
    <w:p w14:paraId="455474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5.本项目安装调试完毕，应确保通过上级有关部门和专家验收通过。招标人可委托第三方专业机构参与验收。验收不合格的限期整改，整改完成重新验收，仍不合格的依照合同约定按照违约处理，承担相应法律责任。</w:t>
      </w:r>
    </w:p>
    <w:p w14:paraId="1505D9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6.招标人使用供应商中标的货物、技术、资料、服务或其他任何一部分时，享有无偿使用权。免受第三方提出的侵犯其专利权、著作权、商标权或其它知识产权的起诉。如果第三方提出侵权指控，供应商应承担由此而引起的一切法律责任和费用。</w:t>
      </w:r>
    </w:p>
    <w:p w14:paraId="1522BD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bCs/>
          <w:color w:val="000000"/>
          <w:sz w:val="28"/>
          <w:szCs w:val="28"/>
          <w:lang w:val="en-US" w:eastAsia="zh-CN" w:bidi="ar"/>
        </w:rPr>
      </w:pPr>
    </w:p>
    <w:p w14:paraId="2044C8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bCs/>
          <w:color w:val="000000"/>
          <w:sz w:val="28"/>
          <w:szCs w:val="28"/>
          <w:lang w:val="en-US" w:eastAsia="zh-CN" w:bidi="ar"/>
        </w:rPr>
      </w:pPr>
    </w:p>
    <w:p w14:paraId="484048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jc w:val="both"/>
        <w:textAlignment w:val="center"/>
        <w:rPr>
          <w:rFonts w:hint="eastAsia" w:ascii="宋体" w:hAnsi="宋体" w:eastAsia="宋体" w:cs="宋体"/>
          <w:b/>
          <w:bCs/>
          <w:color w:val="000000"/>
          <w:sz w:val="28"/>
          <w:szCs w:val="28"/>
          <w:lang w:val="en-US" w:eastAsia="zh-CN" w:bidi="ar"/>
        </w:rPr>
      </w:pPr>
    </w:p>
    <w:sectPr>
      <w:pgSz w:w="12240" w:h="15840"/>
      <w:pgMar w:top="1440" w:right="1800" w:bottom="1440" w:left="1800"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F48AAD"/>
    <w:multiLevelType w:val="singleLevel"/>
    <w:tmpl w:val="4AF48AA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3MzgxYTNhZTNlYTAxNGM4NTI4NDVlNDlmOTE1YTAifQ=="/>
  </w:docVars>
  <w:rsids>
    <w:rsidRoot w:val="0002607F"/>
    <w:rsid w:val="0002607F"/>
    <w:rsid w:val="001F41F2"/>
    <w:rsid w:val="00326E97"/>
    <w:rsid w:val="00417EF4"/>
    <w:rsid w:val="005539A0"/>
    <w:rsid w:val="005A2D64"/>
    <w:rsid w:val="005D2854"/>
    <w:rsid w:val="00771B68"/>
    <w:rsid w:val="008B2862"/>
    <w:rsid w:val="00920886"/>
    <w:rsid w:val="00A676E4"/>
    <w:rsid w:val="00BC326F"/>
    <w:rsid w:val="00C61EEE"/>
    <w:rsid w:val="00D0124F"/>
    <w:rsid w:val="00D7494E"/>
    <w:rsid w:val="017D5815"/>
    <w:rsid w:val="01822573"/>
    <w:rsid w:val="01E465D8"/>
    <w:rsid w:val="020D36FF"/>
    <w:rsid w:val="037325E9"/>
    <w:rsid w:val="0394658D"/>
    <w:rsid w:val="03A10CAA"/>
    <w:rsid w:val="05740424"/>
    <w:rsid w:val="064029FC"/>
    <w:rsid w:val="06473D8B"/>
    <w:rsid w:val="06A74829"/>
    <w:rsid w:val="06E25862"/>
    <w:rsid w:val="072A2F74"/>
    <w:rsid w:val="07A50D69"/>
    <w:rsid w:val="07DC6755"/>
    <w:rsid w:val="08601134"/>
    <w:rsid w:val="092263E9"/>
    <w:rsid w:val="09AB4631"/>
    <w:rsid w:val="09E162A4"/>
    <w:rsid w:val="0A0A57B5"/>
    <w:rsid w:val="0A3E04DB"/>
    <w:rsid w:val="0AFF2E86"/>
    <w:rsid w:val="0B30303F"/>
    <w:rsid w:val="0B3C7C36"/>
    <w:rsid w:val="0B8909A2"/>
    <w:rsid w:val="0BD11F3C"/>
    <w:rsid w:val="0BD20C49"/>
    <w:rsid w:val="0C087B18"/>
    <w:rsid w:val="0CC43379"/>
    <w:rsid w:val="0CFD33F5"/>
    <w:rsid w:val="0D074274"/>
    <w:rsid w:val="0D366907"/>
    <w:rsid w:val="0D8D29CB"/>
    <w:rsid w:val="0DA815B3"/>
    <w:rsid w:val="0E211365"/>
    <w:rsid w:val="0E4A266A"/>
    <w:rsid w:val="0E74112A"/>
    <w:rsid w:val="0EA855E3"/>
    <w:rsid w:val="0FF66FF9"/>
    <w:rsid w:val="0FF860F6"/>
    <w:rsid w:val="0FFC7994"/>
    <w:rsid w:val="10093F96"/>
    <w:rsid w:val="10523A58"/>
    <w:rsid w:val="10E723F2"/>
    <w:rsid w:val="10F42D61"/>
    <w:rsid w:val="11351581"/>
    <w:rsid w:val="11A6405B"/>
    <w:rsid w:val="11A71B81"/>
    <w:rsid w:val="11B76268"/>
    <w:rsid w:val="12053E4B"/>
    <w:rsid w:val="126C0740"/>
    <w:rsid w:val="12DE6E73"/>
    <w:rsid w:val="13765CAF"/>
    <w:rsid w:val="139775C4"/>
    <w:rsid w:val="14F3106D"/>
    <w:rsid w:val="152F63E2"/>
    <w:rsid w:val="154C4F1A"/>
    <w:rsid w:val="157E0E4B"/>
    <w:rsid w:val="166167A3"/>
    <w:rsid w:val="16796819"/>
    <w:rsid w:val="16CB1E6E"/>
    <w:rsid w:val="16F44B9C"/>
    <w:rsid w:val="170535D2"/>
    <w:rsid w:val="176D4508"/>
    <w:rsid w:val="179C4E18"/>
    <w:rsid w:val="17F04282"/>
    <w:rsid w:val="18BA663E"/>
    <w:rsid w:val="193463F1"/>
    <w:rsid w:val="19576692"/>
    <w:rsid w:val="19593B1A"/>
    <w:rsid w:val="1A2024D1"/>
    <w:rsid w:val="1B2B3823"/>
    <w:rsid w:val="1B7A20B5"/>
    <w:rsid w:val="1BEA2D97"/>
    <w:rsid w:val="1C3B7A96"/>
    <w:rsid w:val="1C735482"/>
    <w:rsid w:val="1CE26164"/>
    <w:rsid w:val="1D37025D"/>
    <w:rsid w:val="1D37200B"/>
    <w:rsid w:val="1DF4614E"/>
    <w:rsid w:val="1E05035C"/>
    <w:rsid w:val="1EEB57A3"/>
    <w:rsid w:val="1F144C4B"/>
    <w:rsid w:val="1FC8175E"/>
    <w:rsid w:val="20062169"/>
    <w:rsid w:val="2071294E"/>
    <w:rsid w:val="20D61B3B"/>
    <w:rsid w:val="20D65FDF"/>
    <w:rsid w:val="20EE50D7"/>
    <w:rsid w:val="20FA7F20"/>
    <w:rsid w:val="2110329F"/>
    <w:rsid w:val="21D61119"/>
    <w:rsid w:val="22833F45"/>
    <w:rsid w:val="22AD2D70"/>
    <w:rsid w:val="22C02AA3"/>
    <w:rsid w:val="23767606"/>
    <w:rsid w:val="23890C21"/>
    <w:rsid w:val="240F73B9"/>
    <w:rsid w:val="244F40DF"/>
    <w:rsid w:val="261C4494"/>
    <w:rsid w:val="26CF7759"/>
    <w:rsid w:val="26DB7EAB"/>
    <w:rsid w:val="271964DF"/>
    <w:rsid w:val="27565784"/>
    <w:rsid w:val="27DA63B5"/>
    <w:rsid w:val="27FF65A7"/>
    <w:rsid w:val="283512EC"/>
    <w:rsid w:val="285812D8"/>
    <w:rsid w:val="2A5D507B"/>
    <w:rsid w:val="2A89757A"/>
    <w:rsid w:val="2AF7727E"/>
    <w:rsid w:val="2B7F3415"/>
    <w:rsid w:val="2C251BC9"/>
    <w:rsid w:val="2C5A7AC4"/>
    <w:rsid w:val="2CD21D51"/>
    <w:rsid w:val="2D3E1DC4"/>
    <w:rsid w:val="2D71156A"/>
    <w:rsid w:val="2DB409E4"/>
    <w:rsid w:val="2DFA7A85"/>
    <w:rsid w:val="2E7330BF"/>
    <w:rsid w:val="2E8241DE"/>
    <w:rsid w:val="2E8C54E1"/>
    <w:rsid w:val="2EED4C20"/>
    <w:rsid w:val="2F171C9D"/>
    <w:rsid w:val="2F80700B"/>
    <w:rsid w:val="2FE2558D"/>
    <w:rsid w:val="305D5DD5"/>
    <w:rsid w:val="30601421"/>
    <w:rsid w:val="30696528"/>
    <w:rsid w:val="30DD0CC4"/>
    <w:rsid w:val="31181CFC"/>
    <w:rsid w:val="31A041CB"/>
    <w:rsid w:val="31F167D5"/>
    <w:rsid w:val="328238D1"/>
    <w:rsid w:val="342A2472"/>
    <w:rsid w:val="34802092"/>
    <w:rsid w:val="34E00D83"/>
    <w:rsid w:val="34EC7728"/>
    <w:rsid w:val="35504AB8"/>
    <w:rsid w:val="35C366DA"/>
    <w:rsid w:val="35D704A1"/>
    <w:rsid w:val="35FA5E74"/>
    <w:rsid w:val="36203B2D"/>
    <w:rsid w:val="36657792"/>
    <w:rsid w:val="36A04C8D"/>
    <w:rsid w:val="370C40B1"/>
    <w:rsid w:val="38037262"/>
    <w:rsid w:val="3814146F"/>
    <w:rsid w:val="38C5276A"/>
    <w:rsid w:val="39B34CB8"/>
    <w:rsid w:val="39C66799"/>
    <w:rsid w:val="39D21617"/>
    <w:rsid w:val="3A0948D8"/>
    <w:rsid w:val="3A623526"/>
    <w:rsid w:val="3AB331C1"/>
    <w:rsid w:val="3C432323"/>
    <w:rsid w:val="3C6D73A0"/>
    <w:rsid w:val="3CB054DF"/>
    <w:rsid w:val="3CBC3983"/>
    <w:rsid w:val="3CDF273B"/>
    <w:rsid w:val="3ECC7B2A"/>
    <w:rsid w:val="3F23643C"/>
    <w:rsid w:val="3F485EA2"/>
    <w:rsid w:val="3F6F1681"/>
    <w:rsid w:val="3F80563C"/>
    <w:rsid w:val="3FA2691D"/>
    <w:rsid w:val="3FDB0AC5"/>
    <w:rsid w:val="404B47FE"/>
    <w:rsid w:val="41886A2A"/>
    <w:rsid w:val="427F7E2D"/>
    <w:rsid w:val="43B43B06"/>
    <w:rsid w:val="44986F84"/>
    <w:rsid w:val="45630354"/>
    <w:rsid w:val="45A73923"/>
    <w:rsid w:val="46BC369C"/>
    <w:rsid w:val="46DD5122"/>
    <w:rsid w:val="478B2DD0"/>
    <w:rsid w:val="480453E4"/>
    <w:rsid w:val="481D611E"/>
    <w:rsid w:val="48CD4826"/>
    <w:rsid w:val="48EB47DC"/>
    <w:rsid w:val="495342C3"/>
    <w:rsid w:val="49DA3B9B"/>
    <w:rsid w:val="4A0B01F8"/>
    <w:rsid w:val="4A9A4826"/>
    <w:rsid w:val="4AC27530"/>
    <w:rsid w:val="4B2257F9"/>
    <w:rsid w:val="4B2C59FF"/>
    <w:rsid w:val="4B7778F3"/>
    <w:rsid w:val="4B9A1834"/>
    <w:rsid w:val="4BAD5A0B"/>
    <w:rsid w:val="4C455C43"/>
    <w:rsid w:val="4CEC1053"/>
    <w:rsid w:val="4D0478AD"/>
    <w:rsid w:val="4D6B1FF6"/>
    <w:rsid w:val="4E187F70"/>
    <w:rsid w:val="4E8642F1"/>
    <w:rsid w:val="4E8C7B5A"/>
    <w:rsid w:val="4F674123"/>
    <w:rsid w:val="4F675ED1"/>
    <w:rsid w:val="500951DA"/>
    <w:rsid w:val="501F6EAC"/>
    <w:rsid w:val="50BE4216"/>
    <w:rsid w:val="50D92DFE"/>
    <w:rsid w:val="51312C3A"/>
    <w:rsid w:val="519F5DF6"/>
    <w:rsid w:val="51D81308"/>
    <w:rsid w:val="51F6353C"/>
    <w:rsid w:val="52401F3F"/>
    <w:rsid w:val="533F163E"/>
    <w:rsid w:val="53456529"/>
    <w:rsid w:val="53D224B3"/>
    <w:rsid w:val="53DF072C"/>
    <w:rsid w:val="54CD4A28"/>
    <w:rsid w:val="554C5CBE"/>
    <w:rsid w:val="56815ACA"/>
    <w:rsid w:val="576C7C19"/>
    <w:rsid w:val="576E7B5B"/>
    <w:rsid w:val="578D66F1"/>
    <w:rsid w:val="57A557E8"/>
    <w:rsid w:val="57DD31D4"/>
    <w:rsid w:val="58466FCB"/>
    <w:rsid w:val="586025AF"/>
    <w:rsid w:val="59154BEF"/>
    <w:rsid w:val="592866D1"/>
    <w:rsid w:val="595E6596"/>
    <w:rsid w:val="596D0588"/>
    <w:rsid w:val="59735780"/>
    <w:rsid w:val="59A55F73"/>
    <w:rsid w:val="59BA483A"/>
    <w:rsid w:val="59DE4FE1"/>
    <w:rsid w:val="5B1D4DC2"/>
    <w:rsid w:val="5BE32D83"/>
    <w:rsid w:val="5C3106D2"/>
    <w:rsid w:val="5C531CB7"/>
    <w:rsid w:val="5C9B1B86"/>
    <w:rsid w:val="5CA72002"/>
    <w:rsid w:val="5D2A71E7"/>
    <w:rsid w:val="5D814602"/>
    <w:rsid w:val="5DE80B81"/>
    <w:rsid w:val="5E7377FC"/>
    <w:rsid w:val="5F4A23F3"/>
    <w:rsid w:val="5F69359F"/>
    <w:rsid w:val="5F9920D6"/>
    <w:rsid w:val="5FB30ED5"/>
    <w:rsid w:val="5FC45A4A"/>
    <w:rsid w:val="60123C37"/>
    <w:rsid w:val="60545FFD"/>
    <w:rsid w:val="60631B06"/>
    <w:rsid w:val="60F8107F"/>
    <w:rsid w:val="61243C22"/>
    <w:rsid w:val="61AA6455"/>
    <w:rsid w:val="61E814E9"/>
    <w:rsid w:val="62A768B8"/>
    <w:rsid w:val="62E713AB"/>
    <w:rsid w:val="62EF200D"/>
    <w:rsid w:val="63051831"/>
    <w:rsid w:val="63756320"/>
    <w:rsid w:val="63894210"/>
    <w:rsid w:val="639A3441"/>
    <w:rsid w:val="64416899"/>
    <w:rsid w:val="644C3BBB"/>
    <w:rsid w:val="64C00105"/>
    <w:rsid w:val="64CA4AE0"/>
    <w:rsid w:val="64FD4EB5"/>
    <w:rsid w:val="65474383"/>
    <w:rsid w:val="66187ACD"/>
    <w:rsid w:val="663C37BC"/>
    <w:rsid w:val="66655263"/>
    <w:rsid w:val="66A575B3"/>
    <w:rsid w:val="6764121C"/>
    <w:rsid w:val="67B0620F"/>
    <w:rsid w:val="68EF546C"/>
    <w:rsid w:val="696A6892"/>
    <w:rsid w:val="69A41DA4"/>
    <w:rsid w:val="69BF098B"/>
    <w:rsid w:val="69C72AEE"/>
    <w:rsid w:val="6A5C267E"/>
    <w:rsid w:val="6A6B0B13"/>
    <w:rsid w:val="6B1116BB"/>
    <w:rsid w:val="6B2A62D8"/>
    <w:rsid w:val="6B57570C"/>
    <w:rsid w:val="6B6947A1"/>
    <w:rsid w:val="6BB64010"/>
    <w:rsid w:val="6C866672"/>
    <w:rsid w:val="6CEC129F"/>
    <w:rsid w:val="6D995611"/>
    <w:rsid w:val="6E0077C5"/>
    <w:rsid w:val="6E2A65EF"/>
    <w:rsid w:val="6E2B2A93"/>
    <w:rsid w:val="6E6C4E5A"/>
    <w:rsid w:val="6E810366"/>
    <w:rsid w:val="6F327E52"/>
    <w:rsid w:val="6FD131C7"/>
    <w:rsid w:val="6FD607DD"/>
    <w:rsid w:val="6FFB46E7"/>
    <w:rsid w:val="70294DB1"/>
    <w:rsid w:val="706E2DD0"/>
    <w:rsid w:val="70AB1C6A"/>
    <w:rsid w:val="72712A3F"/>
    <w:rsid w:val="729B5D0E"/>
    <w:rsid w:val="72A44BC2"/>
    <w:rsid w:val="733E6DC5"/>
    <w:rsid w:val="73832A2A"/>
    <w:rsid w:val="73B22524"/>
    <w:rsid w:val="73E6120B"/>
    <w:rsid w:val="7452064E"/>
    <w:rsid w:val="748A7DE8"/>
    <w:rsid w:val="74F33BDF"/>
    <w:rsid w:val="75714B6E"/>
    <w:rsid w:val="75EB7E93"/>
    <w:rsid w:val="76065B94"/>
    <w:rsid w:val="760F67F7"/>
    <w:rsid w:val="77AE3DED"/>
    <w:rsid w:val="77DF669D"/>
    <w:rsid w:val="780F6113"/>
    <w:rsid w:val="784D1858"/>
    <w:rsid w:val="789E2812"/>
    <w:rsid w:val="78A84CE1"/>
    <w:rsid w:val="78AC2A23"/>
    <w:rsid w:val="795F1A07"/>
    <w:rsid w:val="799D236B"/>
    <w:rsid w:val="7A95211D"/>
    <w:rsid w:val="7BAF019F"/>
    <w:rsid w:val="7C7E46D6"/>
    <w:rsid w:val="7C923CDE"/>
    <w:rsid w:val="7CF14EA8"/>
    <w:rsid w:val="7D7D673C"/>
    <w:rsid w:val="7E521976"/>
    <w:rsid w:val="7E751B09"/>
    <w:rsid w:val="7F2801FD"/>
    <w:rsid w:val="7F3D5A7B"/>
    <w:rsid w:val="7F45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semiHidden="0"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jc w:val="left"/>
    </w:pPr>
    <w:rPr>
      <w:rFonts w:eastAsia="Calibri" w:cs="Times New Roman"/>
      <w:kern w:val="0"/>
      <w:sz w:val="20"/>
      <w:szCs w:val="20"/>
    </w:rPr>
  </w:style>
  <w:style w:type="paragraph" w:styleId="3">
    <w:name w:val="Body Text First Indent 2"/>
    <w:basedOn w:val="4"/>
    <w:next w:val="6"/>
    <w:qFormat/>
    <w:uiPriority w:val="0"/>
    <w:pPr>
      <w:spacing w:before="0" w:beforeAutospacing="0"/>
      <w:ind w:firstLine="420" w:firstLineChars="200"/>
      <w:jc w:val="left"/>
    </w:pPr>
    <w:rPr>
      <w:kern w:val="0"/>
      <w:sz w:val="22"/>
      <w:szCs w:val="22"/>
    </w:rPr>
  </w:style>
  <w:style w:type="paragraph" w:styleId="4">
    <w:name w:val="Body Text Indent"/>
    <w:basedOn w:val="1"/>
    <w:next w:val="5"/>
    <w:qFormat/>
    <w:uiPriority w:val="0"/>
    <w:pPr>
      <w:ind w:firstLine="645"/>
    </w:pPr>
    <w:rPr>
      <w:rFonts w:ascii="楷体_GB2312" w:eastAsia="楷体_GB2312"/>
      <w:sz w:val="32"/>
    </w:rPr>
  </w:style>
  <w:style w:type="paragraph" w:styleId="5">
    <w:name w:val="envelope return"/>
    <w:basedOn w:val="1"/>
    <w:semiHidden/>
    <w:qFormat/>
    <w:uiPriority w:val="99"/>
    <w:pPr>
      <w:snapToGrid w:val="0"/>
    </w:pPr>
    <w:rPr>
      <w:rFonts w:ascii="Cambria" w:hAnsi="Cambria"/>
    </w:rPr>
  </w:style>
  <w:style w:type="paragraph" w:styleId="6">
    <w:name w:val="Body Text First Indent"/>
    <w:basedOn w:val="7"/>
    <w:qFormat/>
    <w:uiPriority w:val="99"/>
    <w:pPr>
      <w:spacing w:after="120" w:line="275" w:lineRule="atLeast"/>
      <w:ind w:firstLine="420"/>
      <w:textAlignment w:val="baseline"/>
    </w:pPr>
  </w:style>
  <w:style w:type="paragraph" w:styleId="7">
    <w:name w:val="Body Text"/>
    <w:basedOn w:val="1"/>
    <w:semiHidden/>
    <w:unhideWhenUsed/>
    <w:qFormat/>
    <w:uiPriority w:val="99"/>
    <w:pPr>
      <w:spacing w:after="120" w:afterLines="0" w:afterAutospacing="0"/>
    </w:pPr>
  </w:style>
  <w:style w:type="paragraph" w:styleId="8">
    <w:name w:val="toc 8"/>
    <w:basedOn w:val="1"/>
    <w:next w:val="1"/>
    <w:qFormat/>
    <w:uiPriority w:val="0"/>
    <w:pPr>
      <w:ind w:left="1470"/>
      <w:jc w:val="left"/>
    </w:pPr>
    <w:rPr>
      <w:sz w:val="18"/>
    </w:rPr>
  </w:style>
  <w:style w:type="paragraph" w:styleId="9">
    <w:name w:val="Date"/>
    <w:basedOn w:val="1"/>
    <w:next w:val="1"/>
    <w:link w:val="18"/>
    <w:semiHidden/>
    <w:unhideWhenUsed/>
    <w:qFormat/>
    <w:uiPriority w:val="99"/>
    <w:pPr>
      <w:ind w:left="100" w:leftChars="2500"/>
    </w:pPr>
  </w:style>
  <w:style w:type="paragraph" w:styleId="10">
    <w:name w:val="footer"/>
    <w:basedOn w:val="1"/>
    <w:link w:val="16"/>
    <w:unhideWhenUsed/>
    <w:qFormat/>
    <w:uiPriority w:val="99"/>
    <w:pPr>
      <w:tabs>
        <w:tab w:val="center" w:pos="4153"/>
        <w:tab w:val="right" w:pos="8306"/>
      </w:tabs>
      <w:snapToGrid w:val="0"/>
    </w:pPr>
    <w:rPr>
      <w:sz w:val="18"/>
      <w:szCs w:val="18"/>
    </w:rPr>
  </w:style>
  <w:style w:type="paragraph" w:styleId="11">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11"/>
    <w:qFormat/>
    <w:uiPriority w:val="99"/>
    <w:rPr>
      <w:sz w:val="18"/>
      <w:szCs w:val="18"/>
    </w:rPr>
  </w:style>
  <w:style w:type="character" w:customStyle="1" w:styleId="16">
    <w:name w:val="页脚 字符"/>
    <w:basedOn w:val="14"/>
    <w:link w:val="10"/>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日期 字符"/>
    <w:basedOn w:val="14"/>
    <w:link w:val="9"/>
    <w:semiHidden/>
    <w:qFormat/>
    <w:uiPriority w:val="99"/>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2921</Words>
  <Characters>3110</Characters>
  <Lines>3</Lines>
  <Paragraphs>1</Paragraphs>
  <TotalTime>19</TotalTime>
  <ScaleCrop>false</ScaleCrop>
  <LinksUpToDate>false</LinksUpToDate>
  <CharactersWithSpaces>3275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2019-12-07T00:39:00Z</dcterms:created>
  <dc:creator>Administrator</dc:creator>
  <cp:lastModifiedBy>王奥</cp:lastModifiedBy>
  <cp:lastPrinted>2020-12-18T07:06:00Z</cp:lastPrinted>
  <dcterms:modified xsi:type="dcterms:W3CDTF">2026-01-04T01:40:55Z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18EA5017CA9C4F4FA4DCAC39060FD93C_13</vt:lpwstr>
  </property>
  <property fmtid="{D5CDD505-2E9C-101B-9397-08002B2CF9AE}" pid="4" name="KSOTemplateDocerSaveRecord">
    <vt:lpwstr>eyJoZGlkIjoiZDMyMTY4MTZhYjczYjU1OTFlYThkOTZjMTVjZWI2ZTMiLCJ1c2VySWQiOiIzNjY2NzYzMjYifQ==</vt:lpwstr>
  </property>
</Properties>
</file>