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1EB9">
      <w:pPr>
        <w:snapToGrid/>
        <w:spacing w:beforeAutospacing="0" w:afterAutospacing="0" w:line="360" w:lineRule="auto"/>
        <w:ind w:right="0" w:rightChars="0"/>
        <w:jc w:val="center"/>
        <w:rPr>
          <w:rFonts w:hint="eastAsia" w:ascii="宋体" w:eastAsia="宋体" w:hAnsi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="宋体" w:eastAsia="宋体" w:hAnsiTheme="majorEastAsia" w:cstheme="majorEastAsia"/>
          <w:b/>
          <w:bCs/>
          <w:sz w:val="32"/>
          <w:szCs w:val="32"/>
          <w:lang w:val="en-US" w:eastAsia="zh-CN"/>
        </w:rPr>
        <w:t>寿县人民医院1号楼奥的斯电梯第三方年检检测服务</w:t>
      </w:r>
      <w:r>
        <w:rPr>
          <w:rFonts w:hint="eastAsia" w:ascii="宋体" w:eastAsia="宋体" w:hAnsiTheme="majorEastAsia" w:cstheme="majorEastAsia"/>
          <w:b/>
          <w:bCs/>
          <w:sz w:val="32"/>
          <w:szCs w:val="32"/>
          <w:lang w:eastAsia="zh-CN"/>
        </w:rPr>
        <w:t>需求</w:t>
      </w:r>
    </w:p>
    <w:p w14:paraId="3A38A958">
      <w:pPr>
        <w:snapToGrid/>
        <w:spacing w:beforeAutospacing="0" w:afterAutospacing="0" w:line="360" w:lineRule="auto"/>
        <w:ind w:right="0" w:rightChars="0"/>
        <w:jc w:val="center"/>
        <w:rPr>
          <w:rFonts w:hint="eastAsia" w:ascii="宋体" w:eastAsia="宋体" w:hAnsiTheme="majorEastAsia" w:cstheme="majorEastAsia"/>
          <w:b/>
          <w:bCs/>
          <w:sz w:val="32"/>
          <w:szCs w:val="32"/>
          <w:lang w:eastAsia="zh-CN"/>
        </w:rPr>
      </w:pPr>
    </w:p>
    <w:p w14:paraId="5688E1DF">
      <w:pPr>
        <w:keepNext w:val="0"/>
        <w:keepLines w:val="0"/>
        <w:widowControl/>
        <w:numPr>
          <w:ilvl w:val="0"/>
          <w:numId w:val="0"/>
        </w:numPr>
        <w:suppressLineNumbers w:val="0"/>
        <w:snapToGrid/>
        <w:spacing w:beforeAutospacing="0" w:afterAutospacing="0" w:line="360" w:lineRule="auto"/>
        <w:ind w:left="0" w:leftChars="0" w:right="0" w:rightChars="0" w:firstLine="562" w:firstLineChars="200"/>
        <w:jc w:val="left"/>
        <w:rPr>
          <w:rFonts w:hint="default" w:ascii="宋体" w:eastAsia="宋体" w:hAnsiTheme="majorEastAsia" w:cstheme="majorEastAsia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eastAsia="宋体" w:hAnsiTheme="majorEastAsia" w:cstheme="majorEastAsia"/>
          <w:b/>
          <w:bCs/>
          <w:color w:val="auto"/>
          <w:kern w:val="0"/>
          <w:sz w:val="28"/>
          <w:szCs w:val="28"/>
          <w:lang w:val="en-US" w:eastAsia="zh-CN" w:bidi="ar"/>
        </w:rPr>
        <w:t>1.采购清单</w:t>
      </w:r>
    </w:p>
    <w:tbl>
      <w:tblPr>
        <w:tblStyle w:val="5"/>
        <w:tblW w:w="8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71"/>
        <w:gridCol w:w="2280"/>
        <w:gridCol w:w="1340"/>
        <w:gridCol w:w="2010"/>
      </w:tblGrid>
      <w:tr w14:paraId="173F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检测性质</w:t>
            </w:r>
          </w:p>
        </w:tc>
        <w:tc>
          <w:tcPr>
            <w:tcW w:w="5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eastAsia="宋体" w:hAnsi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第三方检验检测</w:t>
            </w:r>
          </w:p>
        </w:tc>
      </w:tr>
      <w:tr w14:paraId="37C6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电梯类别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层数/提升高度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预算价（元）</w:t>
            </w:r>
          </w:p>
        </w:tc>
      </w:tr>
      <w:tr w14:paraId="3BB4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曳引驱动乘客电梯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1880</w:t>
            </w:r>
          </w:p>
        </w:tc>
      </w:tr>
      <w:tr w14:paraId="583F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8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3040</w:t>
            </w:r>
          </w:p>
        </w:tc>
      </w:tr>
      <w:tr w14:paraId="60D5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C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5530</w:t>
            </w:r>
          </w:p>
        </w:tc>
      </w:tr>
      <w:tr w14:paraId="48B3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9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2460</w:t>
            </w:r>
          </w:p>
        </w:tc>
      </w:tr>
      <w:tr w14:paraId="6CF6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自动扶梯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</w:tr>
      <w:tr w14:paraId="2472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E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</w:tr>
      <w:tr w14:paraId="0671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C6D80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9B28">
            <w:pPr>
              <w:jc w:val="left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14790</w:t>
            </w:r>
          </w:p>
        </w:tc>
      </w:tr>
      <w:tr w14:paraId="030E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D227B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设备清单明细表</w:t>
            </w:r>
          </w:p>
        </w:tc>
      </w:tr>
      <w:tr w14:paraId="73BA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E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7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设备代码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C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01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0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A1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311000322518420122220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R2NF6765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E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3B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AA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37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311000322518420122221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R2NF6766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6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CD4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E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F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311000322518420122222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R2NF6767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3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C02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5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9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311000322518420122223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R2NF6768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0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3F9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A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65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311000322518420130231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R2NF6769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7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799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6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62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311000322518420130232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R2NF6770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8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AFF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E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4C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311000322518420130233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R2NF6771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A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AF4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8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3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311000322518420130234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R2NF6772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B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C32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4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9C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311000322518420130235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R2NF6773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7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CBA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A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1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311000322518420130236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R2NF6774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B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259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9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E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311000322518420122224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R2NF6775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6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61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D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3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311000322518420122225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R2NF6776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0E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1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EE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311000322518420122226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R2NF6777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D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07C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F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A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311000322518420122227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R2NF6778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9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6A3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8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7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311000322518420120587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R2NF6780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B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2DF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6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4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311000322518420120588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R2NF6781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5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30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A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19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311000322518420120589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R2NF6782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CE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A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8D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311000322518420120590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R2NF6783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1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SKY2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E93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6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22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350000322518420130005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R2NF6784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LINK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2AC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D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0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350000322518420130006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R2NF6785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4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LINK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35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0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0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350000322518420130007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R2NF6786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LINK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340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7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EE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350000322518420130008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R2NF6787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4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LINK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D1D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5DAE22">
      <w:pPr>
        <w:keepNext w:val="0"/>
        <w:keepLines w:val="0"/>
        <w:widowControl/>
        <w:numPr>
          <w:ilvl w:val="0"/>
          <w:numId w:val="0"/>
        </w:numPr>
        <w:suppressLineNumbers w:val="0"/>
        <w:snapToGrid/>
        <w:spacing w:beforeAutospacing="0" w:afterAutospacing="0" w:line="360" w:lineRule="auto"/>
        <w:ind w:right="0" w:rightChars="0"/>
        <w:jc w:val="left"/>
        <w:rPr>
          <w:rFonts w:hint="eastAsia" w:ascii="宋体" w:eastAsia="宋体" w:hAnsiTheme="majorEastAsia" w:cstheme="majorEastAsia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29897A66">
      <w:pPr>
        <w:keepNext w:val="0"/>
        <w:keepLines w:val="0"/>
        <w:widowControl/>
        <w:numPr>
          <w:ilvl w:val="0"/>
          <w:numId w:val="0"/>
        </w:numPr>
        <w:suppressLineNumbers w:val="0"/>
        <w:snapToGrid/>
        <w:spacing w:beforeAutospacing="0" w:afterAutospacing="0" w:line="360" w:lineRule="auto"/>
        <w:ind w:right="0" w:rightChars="0"/>
        <w:jc w:val="left"/>
        <w:rPr>
          <w:rFonts w:hint="eastAsia" w:ascii="宋体" w:eastAsia="宋体" w:hAnsiTheme="majorEastAsia" w:cstheme="majorEastAsia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eastAsia="宋体" w:hAnsiTheme="majorEastAsia" w:cstheme="majorEastAsia"/>
          <w:color w:val="auto"/>
          <w:kern w:val="0"/>
          <w:sz w:val="24"/>
          <w:szCs w:val="24"/>
          <w:highlight w:val="none"/>
          <w:lang w:val="en-US" w:eastAsia="zh-CN" w:bidi="ar"/>
        </w:rPr>
        <w:t>2.服务内容：</w:t>
      </w:r>
    </w:p>
    <w:p w14:paraId="5C0B452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Chars="0" w:right="0" w:rightChars="0" w:firstLine="420" w:firstLineChars="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2.1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开展电梯自行检测，应当按照实施检测、出具检测备忘录、确认整改情况、公示检测及整改情况、出具检测报告、换取使用标志的程序进行。</w:t>
      </w:r>
    </w:p>
    <w:p w14:paraId="2F02710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Chars="0" w:right="0" w:rightChars="0" w:firstLine="420" w:firstLineChars="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2.2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检测作业指导书。检测单位应当依据《电梯自行检测规则》（TSG T7008-2023），制定包括检测程序、内容、要求和方法的《电梯自行检测作业指导书（范本）》，明确检测记录格式和填写要求，用于指导具体的检测工作。</w:t>
      </w:r>
    </w:p>
    <w:p w14:paraId="6B06CAD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Chars="0" w:right="0" w:rightChars="0" w:firstLine="420" w:firstLineChars="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2.3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检测信息和档案。检测单位应当按照特种设备安全监管部门的要求，应用“</w:t>
      </w: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安徽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特种设备在线”等系统，推进实施“扫码检测”，及时传递、报告或者公示电梯自行检测信息。同时，应当及时将自行检测记录、《电梯自行检测备忘录》《电梯自行检测报告》《电梯自行检测符合性声明》等存入检测档案，检测档案至少保存 6 年。</w:t>
      </w:r>
    </w:p>
    <w:p w14:paraId="0CE8BB3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Chars="0" w:right="0" w:rightChars="0" w:firstLine="420" w:firstLineChars="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2.4服务期：合同签订生效后</w:t>
      </w:r>
      <w:r>
        <w:rPr>
          <w:rFonts w:hint="eastAsia" w:cs="宋体"/>
          <w:b w:val="0"/>
          <w:bCs/>
          <w:kern w:val="2"/>
          <w:sz w:val="24"/>
          <w:szCs w:val="24"/>
          <w:lang w:val="en-US" w:eastAsia="zh-CN" w:bidi="ar-SA"/>
        </w:rPr>
        <w:t>30日。</w:t>
      </w:r>
    </w:p>
    <w:p w14:paraId="2A6F73B9">
      <w:pPr>
        <w:ind w:firstLine="420" w:firstLineChars="0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2.5预算金额：14790元。</w:t>
      </w:r>
    </w:p>
    <w:p w14:paraId="6BC6DF2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Chars="0" w:right="0" w:rightChars="0" w:firstLine="420" w:firstLineChars="0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</w:p>
    <w:p w14:paraId="348A7970">
      <w:pPr>
        <w:numPr>
          <w:ilvl w:val="0"/>
          <w:numId w:val="0"/>
        </w:numPr>
        <w:snapToGrid/>
        <w:spacing w:beforeAutospacing="0" w:afterAutospacing="0" w:line="360" w:lineRule="auto"/>
        <w:ind w:right="0" w:rightChars="0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费用结算：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合同签订后，成交商完成设备年检，经采购人确认验收合格、设备正常运行7天后，成交商开具实际金额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100%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的符合采购人财务要求的正式发票后，采购人一次性支付实际年检金额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。</w:t>
      </w:r>
    </w:p>
    <w:p w14:paraId="35B47A21">
      <w:pPr>
        <w:numPr>
          <w:ilvl w:val="0"/>
          <w:numId w:val="0"/>
        </w:numPr>
        <w:snapToGrid/>
        <w:spacing w:beforeAutospacing="0" w:afterAutospacing="0" w:line="360" w:lineRule="auto"/>
        <w:ind w:right="0" w:rightChars="0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 w14:paraId="30746E2B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right="0" w:rightChars="0"/>
        <w:jc w:val="left"/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</w:pP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</w:rPr>
        <w:t>义务</w:t>
      </w:r>
    </w:p>
    <w:p w14:paraId="7EC07BBF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需保证服务期内，享有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年检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对象的所有权或已获得所有权人的相关合法授权，有权就上述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年检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对象及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项目与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签订本合同，并且不会侵害任何第三方的合法权益。</w:t>
      </w:r>
    </w:p>
    <w:p w14:paraId="1C87914E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需为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履行本合同约定服务提供相应的配合，派人员协助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进行工作。</w:t>
      </w:r>
    </w:p>
    <w:p w14:paraId="0C671AB3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4.3服务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完成后，由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年检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报告书，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应安排人员当场进行验收，验收合格对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年检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报告书进行盖章/签字确认，即视为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提供的服务表示认可。若因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原因导致未能及时验收的，则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提交作业报告书之日视为验收合格日。</w:t>
      </w:r>
    </w:p>
    <w:p w14:paraId="5F38E262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应按合同约定向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支付服务费用。</w:t>
      </w:r>
    </w:p>
    <w:p w14:paraId="07A60DB4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668D0082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right="0" w:rightChars="0"/>
        <w:jc w:val="left"/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</w:pP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</w:rPr>
        <w:t>义务</w:t>
      </w:r>
    </w:p>
    <w:p w14:paraId="4538FF43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应在约定的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期内完成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，如遇特殊情况无法完成的，应及时通知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，双方协商一致后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确定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期。</w:t>
      </w:r>
    </w:p>
    <w:p w14:paraId="54B03C6C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在进行工作时应遵守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书面告知的各项管理制度及安全操作制度，如有争议应通知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相关人员解决，不得与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及第三方工作人员发生冲突。</w:t>
      </w:r>
    </w:p>
    <w:p w14:paraId="3D2E0E52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工作完成后，应及时清理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过程中产生的垃圾，做到工完场清。</w:t>
      </w:r>
    </w:p>
    <w:p w14:paraId="6CB462C6">
      <w:pPr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val="en-US" w:eastAsia="zh-CN"/>
        </w:rPr>
        <w:t>5.4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eastAsia="zh-CN"/>
        </w:rPr>
        <w:t>成交商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  <w:t>在作业过程中应注重安全文明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  <w:t>，如因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eastAsia="zh-CN"/>
        </w:rPr>
        <w:t>成交商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  <w:t>原因导致其自身、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eastAsia="zh-CN"/>
        </w:rPr>
        <w:t>采购人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  <w:t>、第三方人身、财产损失的，由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eastAsia="zh-CN"/>
        </w:rPr>
        <w:t>成交商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  <w:t>承担所有责任。</w:t>
      </w:r>
    </w:p>
    <w:p w14:paraId="6BBC777B">
      <w:pPr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</w:pPr>
    </w:p>
    <w:p w14:paraId="01FE7C0A">
      <w:pPr>
        <w:autoSpaceDE w:val="0"/>
        <w:snapToGrid/>
        <w:spacing w:beforeAutospacing="0" w:afterAutospacing="0" w:line="360" w:lineRule="auto"/>
        <w:ind w:right="0" w:rightChars="0"/>
        <w:jc w:val="left"/>
        <w:rPr>
          <w:rFonts w:hint="eastAsia" w:ascii="宋体" w:eastAsia="宋体" w:hAnsiTheme="majorEastAsia" w:cstheme="majorEastAsia"/>
          <w:sz w:val="24"/>
          <w:szCs w:val="24"/>
        </w:rPr>
      </w:pPr>
      <w:r>
        <w:rPr>
          <w:rFonts w:hint="eastAsia" w:ascii="宋体" w:eastAsia="宋体" w:hAnsiTheme="majorEastAsia" w:cstheme="majorEastAsia"/>
          <w:sz w:val="24"/>
          <w:szCs w:val="24"/>
          <w:lang w:val="en-US" w:eastAsia="zh-CN"/>
        </w:rPr>
        <w:t>6.</w:t>
      </w:r>
      <w:r>
        <w:rPr>
          <w:rFonts w:hint="eastAsia" w:ascii="宋体" w:eastAsia="宋体" w:hAnsiTheme="majorEastAsia" w:cstheme="majorEastAsia"/>
          <w:sz w:val="24"/>
          <w:szCs w:val="24"/>
        </w:rPr>
        <w:t>违约责任</w:t>
      </w:r>
    </w:p>
    <w:p w14:paraId="036890C1">
      <w:pPr>
        <w:pStyle w:val="12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6.1 </w:t>
      </w:r>
      <w:r>
        <w:rPr>
          <w:rFonts w:hint="eastAsia" w:ascii="宋体" w:hAnsi="宋体" w:eastAsia="宋体" w:cs="宋体"/>
          <w:sz w:val="24"/>
          <w:szCs w:val="24"/>
        </w:rPr>
        <w:t>除不可抗力因素外，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有下列情形之一的，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有权解除合同，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按照合同总金额的5%支付违约金，若违约金不足以抵付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损失的，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还应根据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实际经济损失补足差额。</w:t>
      </w:r>
    </w:p>
    <w:p w14:paraId="4A99CFAC">
      <w:pPr>
        <w:pStyle w:val="12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（1）拒绝履行合同义务，擅自解除合同的；</w:t>
      </w:r>
    </w:p>
    <w:p w14:paraId="603B3980">
      <w:pPr>
        <w:pStyle w:val="12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因自身经营原因，无法继续履行合同，要求终止合同；</w:t>
      </w:r>
    </w:p>
    <w:p w14:paraId="70D0F054">
      <w:pPr>
        <w:pStyle w:val="12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因经营服务无法达到招标响应技术要求或服务无法达到约定标准的，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有权要求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限期整改，逾期未整改或整改后仍未达到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要求的，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为完成整改要求而产生的支出费用由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承担。</w:t>
      </w:r>
    </w:p>
    <w:p w14:paraId="5DF604E2">
      <w:pPr>
        <w:pStyle w:val="12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（4）未经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同意，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转包、分包合同事务，在承包区域内从事未经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认可的承包工作。</w:t>
      </w:r>
    </w:p>
    <w:p w14:paraId="0A66385A">
      <w:pPr>
        <w:pStyle w:val="12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出现重大管理不到位（如已影响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公众形象、声誉的），有多次投诉而得不到纠正的。</w:t>
      </w:r>
    </w:p>
    <w:p w14:paraId="2EFD78C8">
      <w:pPr>
        <w:pStyle w:val="12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（6）合同约定的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可以解除合同的其他情形。</w:t>
      </w:r>
    </w:p>
    <w:p w14:paraId="6692DFA7">
      <w:pPr>
        <w:pStyle w:val="12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服务期间，非不可抗力，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擅自解除本合同，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按照合同总金额的5%支付违约金。若违约金不足以抵付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损失的，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还应根据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成交商</w:t>
      </w:r>
      <w:r>
        <w:rPr>
          <w:rFonts w:hint="eastAsia" w:ascii="宋体" w:hAnsi="宋体" w:eastAsia="宋体" w:cs="宋体"/>
          <w:sz w:val="24"/>
          <w:szCs w:val="24"/>
        </w:rPr>
        <w:t>实际经济损失补足差额。</w:t>
      </w:r>
    </w:p>
    <w:p w14:paraId="53FDDE7E">
      <w:pPr>
        <w:autoSpaceDE w:val="0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因不可抗力因素造成本合同无法执行，任意一方可终止本合同，无需做出任何赔偿。经双方协商同意可终止部分或全部合同的，无须承担违约责任。</w:t>
      </w:r>
    </w:p>
    <w:p w14:paraId="5DA0BA07">
      <w:pPr>
        <w:jc w:val="center"/>
        <w:rPr>
          <w:rFonts w:hint="eastAsia"/>
          <w:sz w:val="32"/>
          <w:szCs w:val="40"/>
          <w:lang w:val="en-US" w:eastAsia="zh-CN"/>
        </w:rPr>
      </w:pPr>
    </w:p>
    <w:p w14:paraId="524BBF96">
      <w:pPr>
        <w:rPr>
          <w:rFonts w:hint="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A8FE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6B1E3F41"/>
    <w:rsid w:val="003746D2"/>
    <w:rsid w:val="010B405F"/>
    <w:rsid w:val="01323CE1"/>
    <w:rsid w:val="01C25065"/>
    <w:rsid w:val="0270061D"/>
    <w:rsid w:val="029A7D90"/>
    <w:rsid w:val="02DD1A2B"/>
    <w:rsid w:val="03E05476"/>
    <w:rsid w:val="070E48A8"/>
    <w:rsid w:val="07342561"/>
    <w:rsid w:val="07C66F31"/>
    <w:rsid w:val="083B791F"/>
    <w:rsid w:val="097021FF"/>
    <w:rsid w:val="0A702E51"/>
    <w:rsid w:val="0AF344E1"/>
    <w:rsid w:val="0B9C6927"/>
    <w:rsid w:val="0C0F0EA7"/>
    <w:rsid w:val="0C4C20FB"/>
    <w:rsid w:val="0C517711"/>
    <w:rsid w:val="0D335069"/>
    <w:rsid w:val="0D444B80"/>
    <w:rsid w:val="0D4E3C51"/>
    <w:rsid w:val="0E7D2A40"/>
    <w:rsid w:val="0E924011"/>
    <w:rsid w:val="0E947D89"/>
    <w:rsid w:val="0EA7186A"/>
    <w:rsid w:val="0EB6385C"/>
    <w:rsid w:val="0FC621C4"/>
    <w:rsid w:val="10066A65"/>
    <w:rsid w:val="105E41AB"/>
    <w:rsid w:val="10A87B1C"/>
    <w:rsid w:val="10C04E65"/>
    <w:rsid w:val="10E9131C"/>
    <w:rsid w:val="116B3023"/>
    <w:rsid w:val="11D67DC1"/>
    <w:rsid w:val="12A52565"/>
    <w:rsid w:val="12C02EFB"/>
    <w:rsid w:val="145E6E6F"/>
    <w:rsid w:val="152D05F0"/>
    <w:rsid w:val="15714ECA"/>
    <w:rsid w:val="15E11B06"/>
    <w:rsid w:val="15EF3AF7"/>
    <w:rsid w:val="1666200B"/>
    <w:rsid w:val="172A4DE7"/>
    <w:rsid w:val="17684C33"/>
    <w:rsid w:val="17805421"/>
    <w:rsid w:val="17B15508"/>
    <w:rsid w:val="1A1D6E85"/>
    <w:rsid w:val="1AAB5868"/>
    <w:rsid w:val="1AB23A71"/>
    <w:rsid w:val="1AE929D0"/>
    <w:rsid w:val="1B632FBD"/>
    <w:rsid w:val="1BED2887"/>
    <w:rsid w:val="1C9553F8"/>
    <w:rsid w:val="1D2D5631"/>
    <w:rsid w:val="1E42510C"/>
    <w:rsid w:val="2007660D"/>
    <w:rsid w:val="21EA7F94"/>
    <w:rsid w:val="23384D2F"/>
    <w:rsid w:val="23D507D0"/>
    <w:rsid w:val="25311A36"/>
    <w:rsid w:val="26487037"/>
    <w:rsid w:val="26DF4F00"/>
    <w:rsid w:val="272A0E33"/>
    <w:rsid w:val="27BE6E30"/>
    <w:rsid w:val="2900009D"/>
    <w:rsid w:val="29283150"/>
    <w:rsid w:val="2A813C81"/>
    <w:rsid w:val="2A917BF3"/>
    <w:rsid w:val="2B715282"/>
    <w:rsid w:val="2CFC5020"/>
    <w:rsid w:val="2FD23E16"/>
    <w:rsid w:val="300466C5"/>
    <w:rsid w:val="333C7F24"/>
    <w:rsid w:val="346C2A8B"/>
    <w:rsid w:val="37321D6A"/>
    <w:rsid w:val="37B22EAA"/>
    <w:rsid w:val="382611A3"/>
    <w:rsid w:val="395F496C"/>
    <w:rsid w:val="3C5C27E6"/>
    <w:rsid w:val="3CB36000"/>
    <w:rsid w:val="3D006466"/>
    <w:rsid w:val="3DA07301"/>
    <w:rsid w:val="3DD67EFC"/>
    <w:rsid w:val="3DEA67CE"/>
    <w:rsid w:val="3E1807B2"/>
    <w:rsid w:val="3E613FCA"/>
    <w:rsid w:val="401C35B7"/>
    <w:rsid w:val="404E1296"/>
    <w:rsid w:val="416F7716"/>
    <w:rsid w:val="422B7AE1"/>
    <w:rsid w:val="43D917BF"/>
    <w:rsid w:val="4577128F"/>
    <w:rsid w:val="46675226"/>
    <w:rsid w:val="46845A12"/>
    <w:rsid w:val="47FB78C2"/>
    <w:rsid w:val="491379E8"/>
    <w:rsid w:val="4A08695A"/>
    <w:rsid w:val="4A8E3303"/>
    <w:rsid w:val="4B804A1B"/>
    <w:rsid w:val="4BF947AC"/>
    <w:rsid w:val="4C2D4456"/>
    <w:rsid w:val="4CF338F1"/>
    <w:rsid w:val="4D752558"/>
    <w:rsid w:val="4DAE5A6A"/>
    <w:rsid w:val="4DDA685F"/>
    <w:rsid w:val="4E1A5D98"/>
    <w:rsid w:val="4FE614EB"/>
    <w:rsid w:val="503A0211"/>
    <w:rsid w:val="5147763A"/>
    <w:rsid w:val="517B3EB5"/>
    <w:rsid w:val="51D75590"/>
    <w:rsid w:val="536F784D"/>
    <w:rsid w:val="538D0D5B"/>
    <w:rsid w:val="544E765F"/>
    <w:rsid w:val="577D699A"/>
    <w:rsid w:val="588673C8"/>
    <w:rsid w:val="58A9043A"/>
    <w:rsid w:val="58E95BA9"/>
    <w:rsid w:val="5B9938B6"/>
    <w:rsid w:val="5C2F7D76"/>
    <w:rsid w:val="5E316028"/>
    <w:rsid w:val="5E9640DD"/>
    <w:rsid w:val="5FE315A4"/>
    <w:rsid w:val="60AC59FD"/>
    <w:rsid w:val="61FE4473"/>
    <w:rsid w:val="62C0797A"/>
    <w:rsid w:val="63C17E4E"/>
    <w:rsid w:val="64610CE9"/>
    <w:rsid w:val="66154481"/>
    <w:rsid w:val="675D60DF"/>
    <w:rsid w:val="679D028A"/>
    <w:rsid w:val="684C5FEA"/>
    <w:rsid w:val="687C07E7"/>
    <w:rsid w:val="68D4417F"/>
    <w:rsid w:val="68D979E8"/>
    <w:rsid w:val="696A4AE4"/>
    <w:rsid w:val="69E623BC"/>
    <w:rsid w:val="6AA875A4"/>
    <w:rsid w:val="6B1E3F41"/>
    <w:rsid w:val="6B811C71"/>
    <w:rsid w:val="6BAC4F3F"/>
    <w:rsid w:val="6BC73B27"/>
    <w:rsid w:val="6BD050D2"/>
    <w:rsid w:val="6DBC63EE"/>
    <w:rsid w:val="6DC20A4A"/>
    <w:rsid w:val="6E107029"/>
    <w:rsid w:val="6EF94940"/>
    <w:rsid w:val="6F7C731F"/>
    <w:rsid w:val="70C8281B"/>
    <w:rsid w:val="716C49F1"/>
    <w:rsid w:val="74566390"/>
    <w:rsid w:val="753917A4"/>
    <w:rsid w:val="76481D09"/>
    <w:rsid w:val="76854D0B"/>
    <w:rsid w:val="76E47C83"/>
    <w:rsid w:val="77F02658"/>
    <w:rsid w:val="77FC724F"/>
    <w:rsid w:val="786C6182"/>
    <w:rsid w:val="7B4E1B6F"/>
    <w:rsid w:val="7B6E3FBF"/>
    <w:rsid w:val="7D121225"/>
    <w:rsid w:val="7D2F59D0"/>
    <w:rsid w:val="7E834226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/>
      <w:b/>
      <w:color w:val="000000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4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paragraph" w:styleId="12">
    <w:name w:val="List Paragraph"/>
    <w:basedOn w:val="1"/>
    <w:qFormat/>
    <w:uiPriority w:val="99"/>
    <w:pPr>
      <w:ind w:firstLine="420"/>
    </w:pPr>
  </w:style>
  <w:style w:type="character" w:customStyle="1" w:styleId="13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1604</Words>
  <Characters>2362</Characters>
  <Lines>0</Lines>
  <Paragraphs>0</Paragraphs>
  <TotalTime>6</TotalTime>
  <ScaleCrop>false</ScaleCrop>
  <LinksUpToDate>false</LinksUpToDate>
  <CharactersWithSpaces>2369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2024-08-13T02:15:00Z</dcterms:created>
  <dc:creator>胡</dc:creator>
  <cp:lastModifiedBy>王奥</cp:lastModifiedBy>
  <cp:lastPrinted>2024-12-05T01:52:03Z</cp:lastPrinted>
  <dcterms:modified xsi:type="dcterms:W3CDTF">2024-12-05T07:46:52Z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361A10EA92364C859B6490B9A34689B3_13</vt:lpwstr>
  </property>
</Properties>
</file>