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附件2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维保服务考核表</w:t>
      </w:r>
    </w:p>
    <w:p>
      <w:pPr>
        <w:ind w:firstLine="560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科室：                                 考核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月</w:t>
      </w:r>
    </w:p>
    <w:tbl>
      <w:tblPr>
        <w:tblStyle w:val="5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17"/>
        <w:gridCol w:w="509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考核项目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(5 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 400或800客户服务专线电话，24 小时*365 天热线支持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不分节假日，故障报修响应时间≤1 小时，到达现场时间≤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小时(不能远程修复时)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定期维护保养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 次，并提供纸质的定期保养报告，保养内容全面不限于合同约定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维保工程师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此设备由专业维修工程师负责维修服务，工程师具备同型号设备维修培训证书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设备开机率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(25分)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确保开机率&gt;96%(按365 天计算)，若停机不满一日历天按一日历天计算，停机时间超过一日历天则保修期顺延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日历天 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使用培训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(5分)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满足使用科室的培训要求，在科室开发设备新的使用功能时提供培训支持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服务态度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(10 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维保工程师具有较好的沟通能力，良好的服务意识，积极的工作态度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更换配件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(25 分)</w:t>
            </w: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维修更换的零配件均要求为原厂检测合格的、未拆封的全新配件，如配件为原厂单独注册的，需提供相应的注册证，提供的零备件必须与采购人维保的设备整机完全匹配，并保证维修后的技术参数与原机数据相同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考核结果：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科室（签字盖章）</w:t>
            </w:r>
          </w:p>
        </w:tc>
      </w:tr>
    </w:tbl>
    <w:p>
      <w:pPr>
        <w:jc w:val="both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备注：年度考核参照此表</w:t>
      </w:r>
    </w:p>
    <w:sectPr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22160D89"/>
    <w:rsid w:val="269005AB"/>
    <w:rsid w:val="27CB43C4"/>
    <w:rsid w:val="2EC002A2"/>
    <w:rsid w:val="33613E2E"/>
    <w:rsid w:val="6BA171D2"/>
    <w:rsid w:val="7F0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485</Characters>
  <Lines>0</Lines>
  <Paragraphs>0</Paragraphs>
  <TotalTime>0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2024-07-25T08:54:00Z</dcterms:created>
  <dc:creator>Administrator</dc:creator>
  <cp:lastModifiedBy>沧桑年轮</cp:lastModifiedBy>
  <dcterms:modified xsi:type="dcterms:W3CDTF">2024-07-25T09:11:04Z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036FED17548F44B397964387DB4F4CCA_12</vt:lpwstr>
  </property>
</Properties>
</file>