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柴油发电机组维保服务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技术参数及服务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需求</w:t>
      </w:r>
    </w:p>
    <w:p>
      <w:pPr>
        <w:ind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一、技术参数</w:t>
      </w:r>
    </w:p>
    <w:tbl>
      <w:tblPr>
        <w:tblStyle w:val="6"/>
        <w:tblW w:w="8750" w:type="dxa"/>
        <w:tblInd w:w="-13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22"/>
        <w:gridCol w:w="54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50" w:type="dxa"/>
            <w:gridSpan w:val="3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sz w:val="32"/>
                <w:szCs w:val="32"/>
              </w:rPr>
              <w:t>1、柴油发电机组技术参数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机组常用功率(KW/KVA)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900KW/1125KVA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额定电压(V)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400/230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额定电流(A)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1620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额定频率(Hz)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功率因数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0.8（滞后）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线制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三相四线制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额定转速(r/min)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1500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电压调整范围（%）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≥±5%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电压调整率（%）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≤±1%（稳态）  ≤(-15～+20)%（瞬态）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频率调整率（%）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18"/>
                <w:szCs w:val="18"/>
              </w:rPr>
              <w:t>≤5%</w:t>
            </w: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（稳态）   ≤＋10%～－7% （瞬态）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电压波动率（%）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≤0.5%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频率波动率（%）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≤0.5%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负荷突变电压稳定时间（s）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负荷突变频率稳定时间（s）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波形失真率（%）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起动方式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直流电起动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启动电池电压(V)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24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起动时间(s)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4～7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燃油耗油率(g/kw·h)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≤225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机油耗油率(g/kw·h)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≤1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噪声水平(dB(A))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机组结构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机组采用一体式结构，柴油机、发电机及散热器整体安装在公共的高强度钢底座上，并带电池补偿充电机。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参考外型尺寸(mm×mm×mm)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4400*2100*2300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参考重量(kg)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9500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0" w:type="dxa"/>
            <w:gridSpan w:val="3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/>
                <w:sz w:val="32"/>
                <w:szCs w:val="32"/>
              </w:rPr>
              <w:t>2、柴油机技术参数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柴油机品牌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重庆康明斯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额定功率 (KW)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900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类型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水冷、四冲程、直列、直喷、四气门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冷却方式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自带风扇闭式循环冷却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汽缸数量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12缸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缸径(mm)×冲程(mm)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ind w:firstLine="2940" w:firstLineChars="140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35×150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压缩比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13.9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排烟温度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529℃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润滑方式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压力和飞溅润滑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调速方式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电调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3265" w:type="dxa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散热器</w:t>
            </w:r>
          </w:p>
        </w:tc>
        <w:tc>
          <w:tcPr>
            <w:tcW w:w="54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管带式水箱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50" w:type="dxa"/>
            <w:gridSpan w:val="3"/>
            <w:noWrap/>
            <w:vAlign w:val="center"/>
          </w:tcPr>
          <w:p>
            <w:pPr>
              <w:snapToGrid w:val="0"/>
              <w:rPr>
                <w:rFonts w:ascii="华文中宋" w:hAnsi="华文中宋" w:eastAsia="华文中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/>
                <w:sz w:val="32"/>
                <w:szCs w:val="32"/>
              </w:rPr>
              <w:t>3、发电机技术参数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发电机品牌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英格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额定功率(KW)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900KW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励磁方式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无刷自励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额定电压(V)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400/230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额定频率(Hz)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额定转速(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r/min</w:t>
            </w: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)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1500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功率因数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0.8(滞后)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空气流量(m³/s)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1.0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绝缘等级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防护等级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IP23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绕组节距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2/3-(N°6)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引线根数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12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超速能力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Cs w:val="21"/>
                <w:vertAlign w:val="superscript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2250min</w:t>
            </w:r>
            <w:r>
              <w:rPr>
                <w:rFonts w:hint="eastAsia" w:ascii="华文中宋" w:hAnsi="华文中宋" w:eastAsia="华文中宋"/>
                <w:bCs/>
                <w:szCs w:val="21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短路电流能力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300%(3倍)：10s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电话干扰</w:t>
            </w:r>
          </w:p>
        </w:tc>
        <w:tc>
          <w:tcPr>
            <w:tcW w:w="5463" w:type="dxa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Cs w:val="21"/>
              </w:rPr>
              <w:t>THF小于2%   TIF小于50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750" w:type="dxa"/>
            <w:gridSpan w:val="3"/>
            <w:noWrap/>
            <w:vAlign w:val="center"/>
          </w:tcPr>
          <w:p>
            <w:pPr>
              <w:rPr>
                <w:rFonts w:ascii="华文中宋" w:hAnsi="华文中宋" w:eastAsia="华文中宋"/>
                <w:bCs/>
                <w:color w:val="000000"/>
                <w:sz w:val="28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/>
                <w:sz w:val="32"/>
                <w:szCs w:val="22"/>
              </w:rPr>
              <w:t>4、机组其他简介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用油标准</w:t>
            </w:r>
          </w:p>
        </w:tc>
        <w:tc>
          <w:tcPr>
            <w:tcW w:w="5463" w:type="dxa"/>
            <w:noWrap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符合国家标准0#、或-10#或-20#轻柴油</w:t>
            </w:r>
          </w:p>
          <w:p>
            <w:pPr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符合国际标准cf15W-40CF4级机油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测    试</w:t>
            </w:r>
          </w:p>
        </w:tc>
        <w:tc>
          <w:tcPr>
            <w:tcW w:w="5463" w:type="dxa"/>
            <w:noWrap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287" w:type="dxa"/>
            <w:gridSpan w:val="2"/>
            <w:noWrap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</w:rPr>
              <w:t>随机资料</w:t>
            </w:r>
          </w:p>
        </w:tc>
        <w:tc>
          <w:tcPr>
            <w:tcW w:w="5463" w:type="dxa"/>
            <w:noWrap/>
            <w:vAlign w:val="center"/>
          </w:tcPr>
          <w:p>
            <w:pPr>
              <w:rPr>
                <w:rFonts w:ascii="华文中宋" w:hAnsi="华文中宋" w:eastAsia="华文中宋"/>
                <w:color w:val="000000"/>
              </w:rPr>
            </w:pPr>
          </w:p>
        </w:tc>
      </w:tr>
    </w:tbl>
    <w:tbl>
      <w:tblPr>
        <w:tblStyle w:val="7"/>
        <w:tblW w:w="8724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872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交流柴油发电机组</w:t>
            </w:r>
          </w:p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标准编号：JB/T10303-2001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398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机组型号：    XG-900GF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功率因数：    0.8滞后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398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功率备用：    1000KW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额定频率：   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398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功率常用：       /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400" w:lineRule="exact"/>
              <w:ind w:firstLine="120" w:firstLineChars="50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相   数：    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398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额定电压：     400V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机组重量：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398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额定电流：    1620A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出厂编号：     12U7956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4398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额定转速：    1500r/min</w:t>
            </w:r>
          </w:p>
        </w:tc>
        <w:tc>
          <w:tcPr>
            <w:tcW w:w="4326" w:type="dxa"/>
            <w:noWrap w:val="0"/>
            <w:vAlign w:val="top"/>
          </w:tcPr>
          <w:p>
            <w:pPr>
              <w:spacing w:line="400" w:lineRule="exact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出厂日期：    2012年9月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</w:trPr>
        <w:tc>
          <w:tcPr>
            <w:tcW w:w="872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</w:rPr>
              <w:t>江苏星光发电设备有限公司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二、柴油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发电机组维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保服务采购需求</w:t>
      </w:r>
    </w:p>
    <w:p>
      <w:pPr>
        <w:numPr>
          <w:ilvl w:val="0"/>
          <w:numId w:val="0"/>
        </w:num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1、</w:t>
      </w:r>
      <w:r>
        <w:rPr>
          <w:rFonts w:hint="eastAsia" w:ascii="新宋体" w:hAnsi="新宋体" w:eastAsia="新宋体" w:cs="新宋体"/>
          <w:sz w:val="28"/>
          <w:szCs w:val="28"/>
        </w:rPr>
        <w:t>服务要求：维保方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每</w:t>
      </w:r>
      <w:r>
        <w:rPr>
          <w:rFonts w:hint="eastAsia" w:ascii="新宋体" w:hAnsi="新宋体" w:eastAsia="新宋体" w:cs="新宋体"/>
          <w:sz w:val="28"/>
          <w:szCs w:val="28"/>
        </w:rPr>
        <w:t>个月将派专业人员进行上门对机组实行一次检查维护保养服务，确保机组的正常使用，业主方需安排一人在现场配合。如维保方没按期到现场维保，可一次性扣除维保方一年总费用2%的维保费用；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维保方</w:t>
      </w:r>
      <w:r>
        <w:rPr>
          <w:rFonts w:hint="eastAsia" w:ascii="新宋体" w:hAnsi="新宋体" w:eastAsia="新宋体" w:cs="新宋体"/>
          <w:sz w:val="28"/>
          <w:szCs w:val="28"/>
        </w:rPr>
        <w:t>一年内对机组实行一次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全面性的</w:t>
      </w:r>
      <w:r>
        <w:rPr>
          <w:rFonts w:hint="eastAsia" w:ascii="新宋体" w:hAnsi="新宋体" w:eastAsia="新宋体" w:cs="新宋体"/>
          <w:sz w:val="28"/>
          <w:szCs w:val="28"/>
        </w:rPr>
        <w:t>维护保养。（如临时出现故障，维保方应在3小时内及时到现场处理）</w:t>
      </w:r>
    </w:p>
    <w:p>
      <w:pPr>
        <w:numPr>
          <w:ilvl w:val="0"/>
          <w:numId w:val="0"/>
        </w:numPr>
        <w:spacing w:line="38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2、</w:t>
      </w:r>
      <w:r>
        <w:rPr>
          <w:rFonts w:hint="eastAsia" w:ascii="新宋体" w:hAnsi="新宋体" w:eastAsia="新宋体" w:cs="新宋体"/>
          <w:sz w:val="28"/>
          <w:szCs w:val="28"/>
        </w:rPr>
        <w:t>在维保过程中，机组出现机体、曲轴、四配套、主电机等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故障，</w:t>
      </w:r>
      <w:r>
        <w:rPr>
          <w:rFonts w:hint="eastAsia" w:ascii="新宋体" w:hAnsi="新宋体" w:eastAsia="新宋体" w:cs="新宋体"/>
          <w:sz w:val="28"/>
          <w:szCs w:val="28"/>
        </w:rPr>
        <w:t>由业主方负责材料费用，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维保</w:t>
      </w:r>
      <w:r>
        <w:rPr>
          <w:rFonts w:hint="eastAsia" w:ascii="新宋体" w:hAnsi="新宋体" w:eastAsia="新宋体" w:cs="新宋体"/>
          <w:sz w:val="28"/>
          <w:szCs w:val="28"/>
        </w:rPr>
        <w:t>方负责维修。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维保方提供</w:t>
      </w:r>
      <w:r>
        <w:rPr>
          <w:rFonts w:hint="eastAsia" w:ascii="新宋体" w:hAnsi="新宋体" w:eastAsia="新宋体" w:cs="新宋体"/>
          <w:sz w:val="28"/>
          <w:szCs w:val="28"/>
        </w:rPr>
        <w:t>设备损坏和正常耗损配件的更换记录</w:t>
      </w:r>
    </w:p>
    <w:p>
      <w:pPr>
        <w:pStyle w:val="5"/>
        <w:spacing w:after="0" w:line="380" w:lineRule="exact"/>
        <w:ind w:left="0" w:leftChars="0" w:firstLine="0" w:firstLineChars="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维保方</w:t>
      </w:r>
      <w:r>
        <w:rPr>
          <w:rFonts w:hint="eastAsia" w:ascii="新宋体" w:hAnsi="新宋体" w:eastAsia="新宋体" w:cs="新宋体"/>
          <w:sz w:val="28"/>
          <w:szCs w:val="28"/>
        </w:rPr>
        <w:t>在接受书面传达后，在3小时内到达业主方指定地点，现场确定工作内容并作出书面预算报价书并提交《服务单》，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维保方</w:t>
      </w:r>
      <w:r>
        <w:rPr>
          <w:rFonts w:hint="eastAsia" w:ascii="新宋体" w:hAnsi="新宋体" w:eastAsia="新宋体" w:cs="新宋体"/>
          <w:sz w:val="28"/>
          <w:szCs w:val="28"/>
        </w:rPr>
        <w:t>在接到业主方确认的报价书和《服务单》后；第一时间现场展开工作。</w:t>
      </w:r>
    </w:p>
    <w:p>
      <w:pPr>
        <w:pStyle w:val="5"/>
        <w:spacing w:after="0" w:line="380" w:lineRule="exact"/>
        <w:ind w:left="0" w:leftChars="0" w:firstLine="0" w:firstLineChars="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</w:rPr>
        <w:t>有关收费标准由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维保方</w:t>
      </w:r>
      <w:r>
        <w:rPr>
          <w:rFonts w:hint="eastAsia" w:ascii="新宋体" w:hAnsi="新宋体" w:eastAsia="新宋体" w:cs="新宋体"/>
          <w:sz w:val="28"/>
          <w:szCs w:val="28"/>
        </w:rPr>
        <w:t>提交明细清单，双方协商核准后作为服务的报价和核价依据。服务现场工作，因维修所需要的材料、配件等费用由双方签字确认，由业主方签字验收结算。</w:t>
      </w:r>
    </w:p>
    <w:p>
      <w:pPr>
        <w:numPr>
          <w:ilvl w:val="0"/>
          <w:numId w:val="0"/>
        </w:num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3、</w:t>
      </w:r>
      <w:r>
        <w:rPr>
          <w:rFonts w:hint="eastAsia" w:ascii="新宋体" w:hAnsi="新宋体" w:eastAsia="新宋体" w:cs="新宋体"/>
          <w:sz w:val="28"/>
          <w:szCs w:val="28"/>
        </w:rPr>
        <w:t>服务内容：每月例行保养预防性检查工作范围如下：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（1）燃油系统：检查及核实油格工作时间，需要时换新。燃油油质是否良好， 排放燃油油水分离器杂质。燃油箱油位指示表工作情况，喷油嘴及高压油泵工作情况（起动后）。检查及记录泄露情况。检查燃油高压油管及固定码。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（2）润滑系统：检查机油油面、油质。核实机油油格工作时间，需要时换新。 检查机油油压指标表工作情况。 检查及记录泄露情况。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（3）冷却系统：检查冷却水水位。冷却水箱/风箱表面清洁度。冷却水添加剂份量。冷却风扇皮带张紧度，需要时调校或换新。记录冷却水温度，记录漏水情况。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（4）直流电系统：检查电瓶酸水份量，需要时添加。电瓶接线头工作情况。充电机传动皮带张紧度，需要时调校或换新。充电机工作情况，起动工作情况， 电瓶电压表工作情况。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（5）控制/自动警报系统： 检查起动电磁门工作情况。各控制拉杆活动、传感器接线头情况。 记录各指示表读数， 需要调至正确。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（6）交流发电机： 检查各接线头情况。各电机（缆）有无损坏。电球保险丝。 自动稳压器各控制电线接头，测试及记录电球输出电压，需要时调校。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（7）检查空气格洁净度及工作时间，需要时清理或换新。检查及记录排气管有否漏烟情况。检查及记录机房空气流通情况。检查机组外表各固定螺丝及螺母， 如有松脱时拉紧。检查时间计时表工作情况。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8）机组起动前:检查冷却水位及留意添加剂份量;检查机油及油质,需要时添加;检查滤芯塞指示器,如需要时清洗滤芯;检查传动胶紧度,如需要时调校紧度;检查清洁起动电瓶输出电线接头；检查起动电瓶酸水位及比重，需要时添加；纪录及维修损坏处;检查冷却水箱,风箱清洁度;检查机组外部螺丝有否松脱现象，需要时再拉紧;检查控制箱指示灯工作情况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（9）当机组运行时(无负载): 检查及记录机油压力;检查及记录冷却水温度；检查及记录充电电压；检查及记录机组运行转（即电流频率）,需要时调校;检查及记录机组输出电压，需要时调校;留意发动机排烟颜色及浓度；留意发动机运行声音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10）机组负载:留意排烟及浓度；留意机组运行声音及稳定度；留意及记录机组运行（最高）机油压力和冷却水温;留意及记录输出电压；留意及记录输出电流及负载分配；留意及记录机组运行频率；当机组运行（最高）机组冷却水温度及机油压力。</w:t>
      </w:r>
    </w:p>
    <w:p>
      <w:pPr>
        <w:spacing w:line="400" w:lineRule="exact"/>
        <w:rPr>
          <w:rFonts w:hint="default" w:ascii="新宋体" w:hAnsi="新宋体" w:eastAsia="新宋体" w:cs="新宋体"/>
          <w:b/>
          <w:bCs/>
          <w:sz w:val="28"/>
          <w:szCs w:val="28"/>
          <w:lang w:val="en-US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（11）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每次需要安排2位技术人员进行月度巡检。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sz w:val="28"/>
          <w:szCs w:val="28"/>
        </w:rPr>
        <w:t>、</w:t>
      </w:r>
      <w:r>
        <w:rPr>
          <w:rFonts w:hint="eastAsia" w:ascii="新宋体" w:hAnsi="新宋体" w:eastAsia="新宋体" w:cs="新宋体"/>
          <w:kern w:val="0"/>
          <w:sz w:val="28"/>
          <w:szCs w:val="28"/>
        </w:rPr>
        <w:t>维保方</w:t>
      </w:r>
      <w:r>
        <w:rPr>
          <w:rFonts w:hint="eastAsia" w:ascii="新宋体" w:hAnsi="新宋体" w:eastAsia="新宋体" w:cs="新宋体"/>
          <w:sz w:val="28"/>
          <w:szCs w:val="28"/>
        </w:rPr>
        <w:t>对机组实行一次维护保养服务内容工作按下述方案进行：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（1）更换机油;更换新机油滤芯;更换柴油滤芯;更换空气滤芯;润滑各外部活动部件;排放柴油粗滤器;检查控制箱接路，需要时拉紧;检查测试机组监管功能（线路）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2）检查调校气门空隙;排放机体冷却水,在加水时,同时注入水箱剂;清洗机底柴油缸出油滤器;检查柴油高压泵喷油定时,需要时调校;清洁及检查发电机定子及转子；检查发电机输出电缆接线螺母,需要时拉紧;检查自动稳压装置电线及接头；检查控制箱功能,检查及调试机组；清洁油水分离器;检查增压器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5、</w:t>
      </w:r>
      <w:r>
        <w:rPr>
          <w:rFonts w:hint="eastAsia" w:ascii="新宋体" w:hAnsi="新宋体" w:eastAsia="新宋体" w:cs="新宋体"/>
          <w:sz w:val="28"/>
          <w:szCs w:val="28"/>
        </w:rPr>
        <w:t>维保方要保证根据需要，提供足够的条件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sz w:val="28"/>
          <w:szCs w:val="28"/>
        </w:rPr>
        <w:t>附件和易损、易耗件以满足设备长期正常运行的要求。</w:t>
      </w:r>
    </w:p>
    <w:p>
      <w:pPr>
        <w:spacing w:line="400" w:lineRule="exact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6、维保期间费用：维保方提供正常维修三滤及机油、冷却液。费用由维保方承担。维保期内机组出现故障所更换的设备配件费用由采购方承担。</w:t>
      </w:r>
      <w:bookmarkStart w:id="0" w:name="OLE_LINK11"/>
    </w:p>
    <w:p>
      <w:pPr>
        <w:spacing w:line="400" w:lineRule="exact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7、维保期内所更换的设备配件必须为全</w:t>
      </w:r>
      <w:bookmarkStart w:id="1" w:name="_GoBack"/>
      <w:bookmarkEnd w:id="1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新配件，且质保期在一年以上。</w:t>
      </w:r>
    </w:p>
    <w:bookmarkEnd w:id="0"/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咨询电话：寿县人民医院</w:t>
      </w:r>
      <w:r>
        <w:rPr>
          <w:rFonts w:hint="eastAsia"/>
          <w:b/>
          <w:bCs/>
          <w:sz w:val="32"/>
          <w:szCs w:val="32"/>
          <w:lang w:val="en-US" w:eastAsia="zh-CN"/>
        </w:rPr>
        <w:t>0554-2766062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1E7112A5"/>
    <w:rsid w:val="3D8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2024-04-15T07:54:51Z</dcterms:created>
  <dc:creator>Administrator</dc:creator>
  <cp:lastModifiedBy>WPS_1659064029</cp:lastModifiedBy>
  <dcterms:modified xsi:type="dcterms:W3CDTF">2024-04-15T08:04:48Z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F23BEF2C4C6C46B9A3AA2000C6DB45B8_12</vt:lpwstr>
  </property>
</Properties>
</file>