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 w:val="28"/>
          <w:szCs w:val="28"/>
        </w:rPr>
      </w:pPr>
    </w:p>
    <w:tbl>
      <w:tblPr>
        <w:tblStyle w:val="5"/>
        <w:tblW w:w="10178" w:type="dxa"/>
        <w:jc w:val="center"/>
        <w:tblLayout w:type="fixed"/>
        <w:tblCellMar>
          <w:top w:w="0" w:type="dxa"/>
          <w:left w:w="108" w:type="dxa"/>
          <w:bottom w:w="0" w:type="dxa"/>
          <w:right w:w="108" w:type="dxa"/>
        </w:tblCellMar>
      </w:tblPr>
      <w:tblGrid>
        <w:gridCol w:w="751"/>
        <w:gridCol w:w="9427"/>
      </w:tblGrid>
      <w:tr>
        <w:tblPrEx>
          <w:tblCellMar>
            <w:top w:w="0" w:type="dxa"/>
            <w:left w:w="108" w:type="dxa"/>
            <w:bottom w:w="0" w:type="dxa"/>
            <w:right w:w="108" w:type="dxa"/>
          </w:tblCellMar>
        </w:tblPrEx>
        <w:trPr>
          <w:trHeight w:val="391" w:hRule="atLeast"/>
          <w:jc w:val="center"/>
        </w:trPr>
        <w:tc>
          <w:tcPr>
            <w:tcW w:w="101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jc w:val="center"/>
              <w:rPr>
                <w:rFonts w:hint="eastAsia" w:ascii="宋体" w:hAnsi="宋体" w:eastAsia="宋体" w:cs="宋体"/>
                <w:b/>
                <w:bCs/>
                <w:color w:val="000000"/>
                <w:sz w:val="24"/>
                <w:szCs w:val="24"/>
                <w:lang w:val="en-US" w:eastAsia="zh-CN"/>
              </w:rPr>
            </w:pPr>
            <w:r>
              <w:rPr>
                <w:rFonts w:hint="eastAsia" w:ascii="宋体" w:hAnsi="宋体" w:cs="宋体"/>
                <w:b/>
                <w:bCs/>
                <w:color w:val="000000"/>
                <w:kern w:val="0"/>
                <w:sz w:val="24"/>
                <w:szCs w:val="24"/>
                <w:lang w:eastAsia="zh-CN"/>
              </w:rPr>
              <w:t>一、</w:t>
            </w:r>
            <w:r>
              <w:rPr>
                <w:rFonts w:hint="eastAsia" w:ascii="宋体" w:hAnsi="宋体" w:eastAsia="宋体" w:cs="宋体"/>
                <w:b/>
                <w:bCs/>
                <w:color w:val="000000"/>
                <w:kern w:val="0"/>
                <w:sz w:val="24"/>
                <w:szCs w:val="24"/>
              </w:rPr>
              <w:t>牙科用低速手机技术</w:t>
            </w:r>
            <w:r>
              <w:rPr>
                <w:rFonts w:hint="eastAsia" w:ascii="宋体" w:hAnsi="宋体" w:cs="宋体"/>
                <w:b/>
                <w:bCs/>
                <w:color w:val="000000"/>
                <w:kern w:val="0"/>
                <w:sz w:val="24"/>
                <w:szCs w:val="24"/>
                <w:lang w:eastAsia="zh-CN"/>
              </w:rPr>
              <w:t>参数</w:t>
            </w:r>
          </w:p>
        </w:tc>
      </w:tr>
      <w:tr>
        <w:tblPrEx>
          <w:tblCellMar>
            <w:top w:w="0" w:type="dxa"/>
            <w:left w:w="108" w:type="dxa"/>
            <w:bottom w:w="0" w:type="dxa"/>
            <w:right w:w="108" w:type="dxa"/>
          </w:tblCellMar>
        </w:tblPrEx>
        <w:trPr>
          <w:trHeight w:val="391"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top"/>
              <w:rPr>
                <w:rFonts w:hint="eastAsia" w:ascii="宋体" w:hAnsi="宋体" w:eastAsia="宋体" w:cs="宋体"/>
                <w:b/>
                <w:bCs/>
                <w:color w:val="000000"/>
                <w:kern w:val="0"/>
                <w:sz w:val="24"/>
                <w:szCs w:val="24"/>
              </w:rPr>
            </w:pPr>
            <w:r>
              <w:rPr>
                <w:rStyle w:val="7"/>
                <w:rFonts w:hint="default" w:ascii="宋体" w:hAnsi="宋体" w:eastAsia="宋体" w:cs="宋体"/>
                <w:sz w:val="24"/>
                <w:szCs w:val="24"/>
              </w:rPr>
              <w:t>序号</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Style w:val="7"/>
                <w:rFonts w:hint="default" w:ascii="宋体" w:hAnsi="宋体" w:eastAsia="宋体" w:cs="宋体"/>
                <w:sz w:val="24"/>
                <w:szCs w:val="24"/>
              </w:rPr>
            </w:pPr>
            <w:r>
              <w:rPr>
                <w:rFonts w:hint="eastAsia" w:ascii="宋体" w:hAnsi="宋体" w:cs="宋体"/>
                <w:b/>
                <w:bCs/>
                <w:color w:val="000000"/>
                <w:kern w:val="0"/>
                <w:sz w:val="24"/>
                <w:szCs w:val="24"/>
              </w:rPr>
              <w:t>技术要求</w:t>
            </w:r>
          </w:p>
        </w:tc>
      </w:tr>
      <w:tr>
        <w:tblPrEx>
          <w:tblCellMar>
            <w:top w:w="0" w:type="dxa"/>
            <w:left w:w="108" w:type="dxa"/>
            <w:bottom w:w="0" w:type="dxa"/>
            <w:right w:w="108" w:type="dxa"/>
          </w:tblCellMar>
        </w:tblPrEx>
        <w:trPr>
          <w:trHeight w:val="362"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bCs/>
                <w:color w:val="000000"/>
                <w:kern w:val="0"/>
                <w:sz w:val="24"/>
                <w:szCs w:val="24"/>
              </w:rPr>
            </w:pP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rPr>
              <w:t>1</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b/>
                <w:bCs/>
                <w:color w:val="000000"/>
                <w:kern w:val="0"/>
                <w:sz w:val="24"/>
                <w:szCs w:val="24"/>
              </w:rPr>
            </w:pPr>
            <w:r>
              <w:rPr>
                <w:rFonts w:hint="eastAsia" w:ascii="宋体" w:hAnsi="宋体" w:eastAsia="宋体" w:cs="宋体"/>
                <w:color w:val="000000"/>
                <w:kern w:val="0"/>
                <w:sz w:val="24"/>
                <w:szCs w:val="24"/>
              </w:rPr>
              <w:t>采用进口钢球轴承，内置5套轴承，运转灵活</w:t>
            </w:r>
          </w:p>
        </w:tc>
      </w:tr>
      <w:tr>
        <w:tblPrEx>
          <w:tblCellMar>
            <w:top w:w="0" w:type="dxa"/>
            <w:left w:w="108" w:type="dxa"/>
            <w:bottom w:w="0" w:type="dxa"/>
            <w:right w:w="108" w:type="dxa"/>
          </w:tblCellMar>
        </w:tblPrEx>
        <w:trPr>
          <w:trHeight w:val="3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rPr>
              <w:t>2</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弯机采用扳手式的车针装取方式，夹持力大，安全可靠</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rPr>
              <w:t>3</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传动比1:1</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rPr>
              <w:t>4</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额定转速≤40000rpm</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rPr>
              <w:t>5</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弯机的夹持力≥45N</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shd w:val="clear" w:color="auto" w:fill="FFFFFF"/>
              </w:rPr>
              <w:t>★6</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冷却形式：外部雾化冷却，与外喷水马达连接使用</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rPr>
              <w:t>7</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与马达连接时，无振动，不发热</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sz w:val="24"/>
                <w:szCs w:val="24"/>
              </w:rPr>
            </w:pPr>
            <w:r>
              <w:rPr>
                <w:rFonts w:hint="eastAsia" w:ascii="宋体" w:hAnsi="宋体" w:eastAsia="宋体" w:cs="宋体"/>
                <w:color w:val="000000"/>
                <w:kern w:val="0"/>
                <w:sz w:val="24"/>
                <w:szCs w:val="24"/>
                <w:shd w:val="clear" w:color="auto" w:fill="FFFFFF"/>
              </w:rPr>
              <w:t>★8</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可进行135度高温高压蒸汽消毒</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Style w:val="7"/>
                <w:rFonts w:hint="default" w:ascii="宋体" w:hAnsi="宋体" w:eastAsia="宋体" w:cs="宋体"/>
                <w:sz w:val="24"/>
                <w:szCs w:val="24"/>
              </w:rPr>
            </w:pPr>
            <w:r>
              <w:rPr>
                <w:rFonts w:hint="eastAsia" w:ascii="宋体" w:hAnsi="宋体" w:eastAsia="宋体" w:cs="宋体"/>
                <w:color w:val="000000"/>
                <w:kern w:val="0"/>
                <w:sz w:val="24"/>
                <w:szCs w:val="24"/>
                <w:shd w:val="clear" w:color="auto" w:fill="FFFFFF"/>
              </w:rPr>
              <w:t>★9</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可以与符合国际标准制作的马达相连接</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Style w:val="7"/>
                <w:rFonts w:hint="default" w:ascii="宋体" w:hAnsi="宋体" w:eastAsia="宋体" w:cs="宋体"/>
                <w:sz w:val="24"/>
                <w:szCs w:val="24"/>
              </w:rPr>
            </w:pP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rPr>
              <w:t>10</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 w:val="24"/>
                <w:szCs w:val="24"/>
              </w:rPr>
              <w:t>用电动马达（空载电流≤0.3A）带动弯机加之负载，运转5秒后，</w:t>
            </w:r>
          </w:p>
          <w:p>
            <w:pPr>
              <w:widowControl/>
              <w:jc w:val="left"/>
              <w:rPr>
                <w:rFonts w:ascii="宋体" w:hAnsi="宋体" w:cs="宋体"/>
                <w:sz w:val="24"/>
                <w:szCs w:val="24"/>
              </w:rPr>
            </w:pPr>
            <w:r>
              <w:rPr>
                <w:rFonts w:hint="eastAsia" w:ascii="宋体" w:hAnsi="宋体" w:eastAsia="宋体" w:cs="宋体"/>
                <w:color w:val="000000"/>
                <w:kern w:val="0"/>
                <w:sz w:val="24"/>
                <w:szCs w:val="24"/>
              </w:rPr>
              <w:t>电流增量≤0.15A</w:t>
            </w:r>
          </w:p>
        </w:tc>
      </w:tr>
      <w:tr>
        <w:tblPrEx>
          <w:tblCellMar>
            <w:top w:w="0" w:type="dxa"/>
            <w:left w:w="108" w:type="dxa"/>
            <w:bottom w:w="0" w:type="dxa"/>
            <w:right w:w="108" w:type="dxa"/>
          </w:tblCellMar>
        </w:tblPrEx>
        <w:trPr>
          <w:trHeight w:val="23"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Style w:val="7"/>
                <w:rFonts w:hint="default" w:ascii="宋体" w:hAnsi="宋体" w:eastAsia="宋体" w:cs="宋体"/>
                <w:sz w:val="24"/>
                <w:szCs w:val="24"/>
              </w:rPr>
            </w:pPr>
            <w:r>
              <w:rPr>
                <w:rFonts w:hint="eastAsia" w:ascii="宋体" w:hAnsi="宋体" w:eastAsia="宋体" w:cs="宋体"/>
                <w:color w:val="000000"/>
                <w:kern w:val="0"/>
                <w:sz w:val="24"/>
                <w:szCs w:val="24"/>
              </w:rPr>
              <w:t>11</w:t>
            </w:r>
          </w:p>
        </w:tc>
        <w:tc>
          <w:tcPr>
            <w:tcW w:w="9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cs="宋体"/>
                <w:sz w:val="24"/>
                <w:szCs w:val="24"/>
              </w:rPr>
            </w:pPr>
            <w:r>
              <w:rPr>
                <w:rFonts w:hint="eastAsia" w:ascii="宋体" w:hAnsi="宋体" w:eastAsia="宋体" w:cs="宋体"/>
                <w:color w:val="000000"/>
                <w:kern w:val="0"/>
                <w:sz w:val="24"/>
                <w:szCs w:val="24"/>
              </w:rPr>
              <w:t>质保期≥1年</w:t>
            </w:r>
          </w:p>
        </w:tc>
      </w:tr>
      <w:tr>
        <w:tblPrEx>
          <w:tblCellMar>
            <w:top w:w="0" w:type="dxa"/>
            <w:left w:w="108" w:type="dxa"/>
            <w:bottom w:w="0" w:type="dxa"/>
            <w:right w:w="108" w:type="dxa"/>
          </w:tblCellMar>
        </w:tblPrEx>
        <w:trPr>
          <w:trHeight w:val="23" w:hRule="atLeast"/>
          <w:jc w:val="center"/>
        </w:trPr>
        <w:tc>
          <w:tcPr>
            <w:tcW w:w="10178"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400" w:lineRule="exact"/>
              <w:jc w:val="center"/>
              <w:rPr>
                <w:rFonts w:ascii="宋体" w:hAnsi="宋体" w:cs="宋体"/>
                <w:color w:val="000000"/>
                <w:kern w:val="0"/>
                <w:sz w:val="24"/>
                <w:szCs w:val="24"/>
              </w:rPr>
            </w:pPr>
            <w:r>
              <w:rPr>
                <w:rFonts w:hint="eastAsia" w:ascii="宋体" w:hAnsi="宋体" w:cs="宋体"/>
                <w:b/>
                <w:bCs/>
                <w:color w:val="000000"/>
                <w:kern w:val="0"/>
                <w:sz w:val="24"/>
                <w:szCs w:val="24"/>
              </w:rPr>
              <w:t>二、光固化灯性能参数</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top"/>
              <w:rPr>
                <w:rStyle w:val="7"/>
                <w:rFonts w:hint="default" w:ascii="宋体" w:hAnsi="宋体" w:eastAsia="宋体" w:cs="宋体"/>
                <w:sz w:val="24"/>
                <w:szCs w:val="24"/>
              </w:rPr>
            </w:pPr>
            <w:r>
              <w:rPr>
                <w:rStyle w:val="7"/>
                <w:rFonts w:hint="default" w:ascii="宋体" w:hAnsi="宋体" w:eastAsia="宋体" w:cs="宋体"/>
                <w:sz w:val="24"/>
                <w:szCs w:val="24"/>
              </w:rPr>
              <w:t>序号</w:t>
            </w:r>
          </w:p>
        </w:tc>
        <w:tc>
          <w:tcPr>
            <w:tcW w:w="94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技术要求</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1</w:t>
            </w:r>
          </w:p>
        </w:tc>
        <w:tc>
          <w:tcPr>
            <w:tcW w:w="94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电源输入：100V—240V、50Hz—60Hz、0.4A；</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2</w:t>
            </w:r>
          </w:p>
        </w:tc>
        <w:tc>
          <w:tcPr>
            <w:tcW w:w="94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电源输出：DC 5V/1A；</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3</w:t>
            </w:r>
          </w:p>
        </w:tc>
        <w:tc>
          <w:tcPr>
            <w:tcW w:w="94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波长：385-515nm；</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★4</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光强：400mW/cm²—2500mW/cm²；可一秒钟固化：</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5</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电池：2600mAh；</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★6</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Check</w:t>
            </w:r>
            <w:bookmarkStart w:id="0" w:name="OLE_LINK1"/>
            <w:bookmarkStart w:id="1" w:name="OLE_LINK2"/>
            <w:r>
              <w:rPr>
                <w:rFonts w:hint="eastAsia" w:ascii="宋体" w:hAnsi="宋体" w:eastAsia="宋体" w:cs="宋体"/>
                <w:color w:val="000000"/>
                <w:kern w:val="0"/>
                <w:sz w:val="24"/>
                <w:szCs w:val="24"/>
              </w:rPr>
              <w:t>龋</w:t>
            </w:r>
            <w:bookmarkEnd w:id="0"/>
            <w:bookmarkEnd w:id="1"/>
            <w:r>
              <w:rPr>
                <w:rFonts w:hint="eastAsia" w:ascii="宋体" w:hAnsi="宋体" w:eastAsia="宋体" w:cs="宋体"/>
                <w:color w:val="000000"/>
                <w:kern w:val="0"/>
                <w:sz w:val="24"/>
                <w:szCs w:val="24"/>
              </w:rPr>
              <w:t>齿检测模式：400mW/cm²-2500mW/cm²固化时间：30s,60s可快速检测出齿龋坏组织：Turbo高光模式：用于正畸模式：Normal普通光强模式</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★7</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底座自带光强测试，显示充电电量；灯头可360度旋转，不受角度限制，方便操作</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全铝合金机身，经久耐用；</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★9</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四颗灯珠，升级宽谱，同时输出蓝紫光适用于市面上所有树脂材料的理想固化；灯珠使用寿命长达8年：</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★10</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大容量电池，充满电后大约可使用一个月；</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11</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灯头可以360度旋转，方便医生操作；</w:t>
            </w:r>
          </w:p>
        </w:tc>
      </w:tr>
      <w:tr>
        <w:tblPrEx>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★12</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恒流驱动技术，恒定光强输出，稳压恒定功率，不随电量下降而衰减。</w:t>
            </w:r>
          </w:p>
        </w:tc>
      </w:tr>
      <w:tr>
        <w:tblPrEx>
          <w:tblCellMar>
            <w:top w:w="0" w:type="dxa"/>
            <w:left w:w="108" w:type="dxa"/>
            <w:bottom w:w="0" w:type="dxa"/>
            <w:right w:w="108" w:type="dxa"/>
          </w:tblCellMar>
        </w:tblPrEx>
        <w:trPr>
          <w:trHeight w:val="652"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13</w:t>
            </w:r>
          </w:p>
        </w:tc>
        <w:tc>
          <w:tcPr>
            <w:tcW w:w="9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质保期≥1年</w:t>
            </w:r>
          </w:p>
        </w:tc>
      </w:tr>
    </w:tbl>
    <w:p>
      <w:pPr>
        <w:pStyle w:val="9"/>
        <w:numPr>
          <w:ilvl w:val="0"/>
          <w:numId w:val="0"/>
        </w:numPr>
        <w:spacing w:line="480" w:lineRule="exact"/>
        <w:ind w:left="-237" w:leftChars="-113" w:firstLine="240" w:firstLineChars="100"/>
        <w:rPr>
          <w:rFonts w:hint="eastAsia" w:ascii="宋体" w:hAnsi="宋体" w:eastAsia="宋体" w:cs="宋体"/>
          <w:sz w:val="24"/>
          <w:szCs w:val="24"/>
        </w:rPr>
      </w:pPr>
      <w:r>
        <w:rPr>
          <w:rFonts w:hint="eastAsia" w:ascii="宋体" w:hAnsi="宋体" w:eastAsia="宋体" w:cs="宋体"/>
          <w:b w:val="0"/>
          <w:bCs/>
          <w:sz w:val="24"/>
          <w:szCs w:val="24"/>
          <w:lang w:eastAsia="zh-CN"/>
        </w:rPr>
        <w:t>注</w:t>
      </w:r>
      <w:r>
        <w:rPr>
          <w:rFonts w:hint="eastAsia" w:ascii="宋体" w:hAnsi="宋体" w:eastAsia="宋体" w:cs="宋体"/>
          <w:sz w:val="24"/>
          <w:szCs w:val="24"/>
          <w:lang w:eastAsia="zh-CN"/>
        </w:rPr>
        <w:t>：</w:t>
      </w:r>
      <w:r>
        <w:rPr>
          <w:rFonts w:hint="eastAsia" w:ascii="宋体" w:hAnsi="宋体" w:eastAsia="宋体" w:cs="宋体"/>
          <w:sz w:val="24"/>
          <w:szCs w:val="24"/>
        </w:rPr>
        <w:t>“★”参数【投标（响应）文件中须提供有资质的第三方检测单位出具的产品检测文件或产品彩页或产品生产厂家官网产品参数截图或产品使用（操作）说明书（手册），对该项参数予以验证。并在投标文件的规格响应表中注明证明材料所在投标文件中的页码（否则评审委员会可以视为该证明材料在投标文件中未提供），以利于评委查找。】</w:t>
      </w:r>
    </w:p>
    <w:p>
      <w:pPr>
        <w:widowControl/>
        <w:jc w:val="left"/>
        <w:rPr>
          <w:rFonts w:hint="eastAsia" w:ascii="宋体" w:hAnsi="宋体" w:eastAsia="宋体" w:cs="宋体"/>
          <w:color w:val="000000"/>
          <w:kern w:val="0"/>
          <w:sz w:val="24"/>
          <w:szCs w:val="24"/>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iYjE5NDFkMTI3OTE1YmFkMzBlMDc5YjNiMTE4NTQifQ=="/>
  </w:docVars>
  <w:rsids>
    <w:rsidRoot w:val="00000000"/>
    <w:rsid w:val="2DE365DF"/>
    <w:rsid w:val="44F70228"/>
    <w:rsid w:val="70070C0F"/>
    <w:rsid w:val="75622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line="360" w:lineRule="auto"/>
      <w:jc w:val="left"/>
      <w:outlineLvl w:val="0"/>
    </w:pPr>
    <w:rPr>
      <w:rFonts w:ascii="Calibri" w:hAnsi="Calibri"/>
      <w:b/>
      <w:kern w:val="44"/>
      <w:sz w:val="32"/>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11"/>
    <w:basedOn w:val="6"/>
    <w:qFormat/>
    <w:uiPriority w:val="0"/>
    <w:rPr>
      <w:rFonts w:hint="eastAsia" w:ascii="仿宋" w:hAnsi="仿宋" w:eastAsia="仿宋" w:cs="仿宋"/>
      <w:color w:val="000000"/>
      <w:sz w:val="22"/>
      <w:szCs w:val="22"/>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paragraph" w:styleId="9">
    <w:name w:val="List Paragraph"/>
    <w:basedOn w:val="1"/>
    <w:qFormat/>
    <w:uiPriority w:val="1"/>
    <w:pPr>
      <w:spacing w:line="260" w:lineRule="exact"/>
      <w:ind w:left="540" w:hanging="42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542</Words>
  <Characters>696</Characters>
  <Paragraphs>87</Paragraphs>
  <TotalTime>1</TotalTime>
  <ScaleCrop>false</ScaleCrop>
  <LinksUpToDate>false</LinksUpToDate>
  <CharactersWithSpaces>703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2022-10-25T08:43:00Z</dcterms:created>
  <dc:creator>Yz.cat.</dc:creator>
  <cp:lastModifiedBy>Yz.cat.</cp:lastModifiedBy>
  <dcterms:modified xsi:type="dcterms:W3CDTF">2023-12-15T08:16:58Z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a20920eca082484c9453575091035530_23</vt:lpwstr>
  </property>
</Properties>
</file>