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Chars="0" w:firstLine="0" w:firstLineChars="0"/>
        <w:jc w:val="center"/>
        <w:textAlignment w:val="auto"/>
        <w:rPr>
          <w:rFonts w:hint="eastAsia" w:eastAsiaTheme="minorEastAsia"/>
          <w:b/>
          <w:sz w:val="40"/>
          <w:szCs w:val="40"/>
          <w:u w:val="none"/>
          <w:lang w:val="en-US" w:eastAsia="zh-CN"/>
        </w:rPr>
      </w:pPr>
      <w:r>
        <w:rPr>
          <w:rFonts w:hint="eastAsia"/>
          <w:b/>
          <w:sz w:val="40"/>
          <w:szCs w:val="40"/>
          <w:u w:val="none"/>
        </w:rPr>
        <w:t>心率变异性检测仪</w:t>
      </w:r>
      <w:r>
        <w:rPr>
          <w:rFonts w:hint="eastAsia"/>
          <w:b/>
          <w:sz w:val="40"/>
          <w:szCs w:val="40"/>
          <w:u w:val="none"/>
          <w:lang w:val="en-US" w:eastAsia="zh-CN"/>
        </w:rPr>
        <w:t>参数</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一、工作原理：</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采用心率变异性（HRV）理论，通过检测受测者瞬时心动周期的微小变化，判断交感神经、副交感神经的平衡度，从而评估分析受测者的身体疲劳、抗压能力、压力指数、自主神经系统活性与平衡性等。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二、产品检测主要模块和指标：</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1、时域分析：</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1）Mean HR、SDNN、RMSSD、PSI、apen、TSRD（平均心率、心率标准差、心率变异均方根、身体压力指数、近似熵或复杂度、连续检测准确值）。</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2）通过相关指标，检测出压力指数包括压力状态、情绪状态，并且用不同的区间比例以柱形图直观展现。</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2、频域分析：</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1）TP、VLF、LF、HF、LF norm、HF norm、LF/HF（总能量、极低频、低频、高频、低频标准值、高频标准值、低频高频比例。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★2）利用傅里叶转换（FFT方法）将心率变异波形图转化为能量光谱密度图，并以柱状图的形式来分析总能量TP、极低频VLF、低频LF、高频HF，用于评估自主神经活性的调节能力和心脏的稳定性。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3、自主神经系统检测结果：检测自主神经系统活性，自主神经系统平衡，自主神经系统稳定性。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1）通过心率变异的波形图、直方图、散点图来综合评估自主神经的活性。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2）通过交感神经系统、副交感神经系统的柱形图，来评估自主神经系统的平衡。</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★3）通过不同的色块区间、四个象限区分，来综合评估自主神经系统的稳定性。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★4）历史记录表：打印出近6次的测量结果，包括自主神经系统活性、自主神经系统的平衡、抗压能力、压力指数、疲劳指数、平均心率、心率稳定性、异常心率等，并且计算出平均值。</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sz w:val="28"/>
          <w:szCs w:val="28"/>
        </w:rPr>
      </w:pPr>
      <w:r>
        <w:rPr>
          <w:rFonts w:hint="eastAsia" w:ascii="宋体" w:hAnsi="宋体" w:eastAsia="宋体" w:cs="宋体"/>
          <w:b/>
          <w:bCs/>
          <w:sz w:val="28"/>
          <w:szCs w:val="28"/>
        </w:rPr>
        <w:t>三、打印报告：</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1、报告输出值：心率变异速率图、能量光谱密度图、功率谱、心率复杂度、抗压能力、压力指数、疲劳指数、平均心率、心率稳定性、异常心率、自主神经活性、自主神经平衡、自主神经系统稳定性以及历史记录表、临床诊断建议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2、报告类型：自动生成彩色图文打印报告（普通A4纸即可），可以设置用户图标和信息。输出3张报告，包括心率变异报表、压力自动分析报表、心血管和流程图（主要数据历史记录）。</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3、打印报告可以设置用户LOGO图标和名称信息。</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四、其他参数：</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1、显示画面：19" LCD Monitor</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2、采样频率：250Hz-500Hz</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3、波特率：达到115200 ps</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4、PPG传感器：可重复使用的手指传感器，传感器波长：红光660nm，红外光905nm</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★5脉率测量范围：30bpm-250bpm±5%</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6、测量时间及精度：5min±3s</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7、功率：60VA</w:t>
      </w:r>
    </w:p>
    <w:p>
      <w:pPr>
        <w:keepNext w:val="0"/>
        <w:keepLines w:val="0"/>
        <w:pageBreakBefore w:val="0"/>
        <w:widowControl/>
        <w:tabs>
          <w:tab w:val="left" w:pos="4950"/>
        </w:tabs>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8、环境温度：5℃-40℃</w:t>
      </w:r>
      <w:r>
        <w:rPr>
          <w:rFonts w:hint="eastAsia" w:ascii="宋体" w:hAnsi="宋体" w:eastAsia="宋体" w:cs="宋体"/>
          <w:b w:val="0"/>
          <w:bCs w:val="0"/>
          <w:color w:val="auto"/>
          <w:sz w:val="28"/>
          <w:szCs w:val="28"/>
        </w:rPr>
        <w:tab/>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9、相对湿度：15%-80%</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10、使用电源：AC220V、50Hz</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11、具有与其他设备与软件互联接口，可与卫生健康各级平台联网。</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bookmarkStart w:id="0" w:name="_Hlk89720398"/>
      <w:r>
        <w:rPr>
          <w:rFonts w:hint="eastAsia" w:ascii="宋体" w:hAnsi="宋体" w:eastAsia="宋体" w:cs="宋体"/>
          <w:b w:val="0"/>
          <w:bCs w:val="0"/>
          <w:color w:val="auto"/>
          <w:sz w:val="28"/>
          <w:szCs w:val="28"/>
        </w:rPr>
        <w:t>★</w:t>
      </w:r>
      <w:bookmarkEnd w:id="0"/>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、要求国产品牌，依据中国人的数据库开发</w:t>
      </w:r>
    </w:p>
    <w:p>
      <w:pPr>
        <w:keepNext w:val="0"/>
        <w:keepLines w:val="0"/>
        <w:pageBreakBefore w:val="0"/>
        <w:widowControl/>
        <w:numPr>
          <w:ilvl w:val="0"/>
          <w:numId w:val="0"/>
        </w:numPr>
        <w:suppressAutoHyphens/>
        <w:kinsoku/>
        <w:wordWrap/>
        <w:overflowPunct/>
        <w:topLinePunct w:val="0"/>
        <w:autoSpaceDE/>
        <w:autoSpaceDN/>
        <w:bidi w:val="0"/>
        <w:adjustRightInd/>
        <w:snapToGrid/>
        <w:spacing w:line="560" w:lineRule="exact"/>
        <w:ind w:leftChars="0" w:right="0" w:rightChars="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医用台车，便于移动检测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14、质保期≥2年。</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15、提供相关检测报告（如有）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16、</w:t>
      </w:r>
      <w:r>
        <w:rPr>
          <w:rFonts w:hint="eastAsia" w:ascii="宋体" w:hAnsi="宋体" w:eastAsia="宋体" w:cs="宋体"/>
          <w:b w:val="0"/>
          <w:bCs w:val="0"/>
          <w:color w:val="auto"/>
          <w:sz w:val="28"/>
          <w:szCs w:val="28"/>
        </w:rPr>
        <w:t>列出所有与</w:t>
      </w:r>
      <w:r>
        <w:rPr>
          <w:rFonts w:hint="eastAsia" w:ascii="宋体" w:hAnsi="宋体" w:eastAsia="宋体" w:cs="宋体"/>
          <w:b w:val="0"/>
          <w:bCs w:val="0"/>
          <w:color w:val="auto"/>
          <w:sz w:val="28"/>
          <w:szCs w:val="28"/>
          <w:lang w:eastAsia="zh-CN"/>
        </w:rPr>
        <w:t>所投</w:t>
      </w:r>
      <w:r>
        <w:rPr>
          <w:rFonts w:hint="eastAsia" w:ascii="宋体" w:hAnsi="宋体" w:eastAsia="宋体" w:cs="宋体"/>
          <w:b w:val="0"/>
          <w:bCs w:val="0"/>
          <w:color w:val="auto"/>
          <w:sz w:val="28"/>
          <w:szCs w:val="28"/>
        </w:rPr>
        <w:t>设备</w:t>
      </w:r>
      <w:r>
        <w:rPr>
          <w:rFonts w:hint="eastAsia" w:ascii="宋体" w:hAnsi="宋体" w:eastAsia="宋体" w:cs="宋体"/>
          <w:b w:val="0"/>
          <w:bCs w:val="0"/>
          <w:color w:val="auto"/>
          <w:sz w:val="28"/>
          <w:szCs w:val="28"/>
          <w:lang w:eastAsia="zh-CN"/>
        </w:rPr>
        <w:t>配套使用的相关耗材、易损件、常备零件、专门工具等清</w:t>
      </w:r>
      <w:r>
        <w:rPr>
          <w:rFonts w:hint="eastAsia" w:ascii="宋体" w:hAnsi="宋体" w:eastAsia="宋体" w:cs="宋体"/>
          <w:b w:val="0"/>
          <w:bCs w:val="0"/>
          <w:color w:val="auto"/>
          <w:sz w:val="28"/>
          <w:szCs w:val="28"/>
        </w:rPr>
        <w:t>单，标明品牌、</w:t>
      </w:r>
      <w:r>
        <w:rPr>
          <w:rFonts w:hint="eastAsia" w:ascii="宋体" w:hAnsi="宋体" w:eastAsia="宋体" w:cs="宋体"/>
          <w:b w:val="0"/>
          <w:bCs w:val="0"/>
          <w:color w:val="auto"/>
          <w:sz w:val="28"/>
          <w:szCs w:val="28"/>
          <w:lang w:eastAsia="zh-CN"/>
        </w:rPr>
        <w:t>规格</w:t>
      </w:r>
      <w:r>
        <w:rPr>
          <w:rFonts w:hint="eastAsia" w:ascii="宋体" w:hAnsi="宋体" w:eastAsia="宋体" w:cs="宋体"/>
          <w:b w:val="0"/>
          <w:bCs w:val="0"/>
          <w:color w:val="auto"/>
          <w:sz w:val="28"/>
          <w:szCs w:val="28"/>
        </w:rPr>
        <w:t>型号、产地等并分项报价，格式自拟，报价不计入投标总价，供以后补充采购</w:t>
      </w:r>
      <w:r>
        <w:rPr>
          <w:rFonts w:hint="eastAsia" w:ascii="宋体" w:hAnsi="宋体" w:eastAsia="宋体" w:cs="宋体"/>
          <w:b w:val="0"/>
          <w:bCs w:val="0"/>
          <w:color w:val="auto"/>
          <w:sz w:val="28"/>
          <w:szCs w:val="28"/>
          <w:lang w:eastAsia="zh-CN"/>
        </w:rPr>
        <w:t>、维修等</w:t>
      </w:r>
      <w:r>
        <w:rPr>
          <w:rFonts w:hint="eastAsia" w:ascii="宋体" w:hAnsi="宋体" w:eastAsia="宋体" w:cs="宋体"/>
          <w:b w:val="0"/>
          <w:bCs w:val="0"/>
          <w:color w:val="auto"/>
          <w:sz w:val="28"/>
          <w:szCs w:val="28"/>
        </w:rPr>
        <w:t>使用</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val="0"/>
          <w:bCs/>
          <w:sz w:val="28"/>
          <w:szCs w:val="28"/>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val="0"/>
          <w:bCs/>
          <w:sz w:val="28"/>
          <w:szCs w:val="28"/>
        </w:rPr>
      </w:pPr>
      <w:bookmarkStart w:id="1" w:name="_GoBack"/>
      <w:bookmarkEnd w:id="1"/>
      <w:r>
        <w:rPr>
          <w:rFonts w:hint="eastAsia" w:ascii="宋体" w:hAnsi="宋体" w:eastAsia="宋体" w:cs="宋体"/>
          <w:b w:val="0"/>
          <w:bCs/>
          <w:sz w:val="28"/>
          <w:szCs w:val="28"/>
          <w:lang w:eastAsia="zh-CN"/>
        </w:rPr>
        <w:t>备注：</w:t>
      </w:r>
      <w:r>
        <w:rPr>
          <w:rFonts w:hint="eastAsia" w:ascii="宋体" w:hAnsi="宋体" w:eastAsia="宋体" w:cs="宋体"/>
          <w:b w:val="0"/>
          <w:bCs/>
          <w:sz w:val="28"/>
          <w:szCs w:val="28"/>
        </w:rPr>
        <w:t>“★”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sectPr>
      <w:headerReference r:id="rId3" w:type="default"/>
      <w:footerReference r:id="rId4" w:type="default"/>
      <w:pgSz w:w="11906" w:h="16838"/>
      <w:pgMar w:top="1440" w:right="1406" w:bottom="1440" w:left="1406" w:header="708" w:footer="708"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360DA"/>
    <w:rsid w:val="000007CB"/>
    <w:rsid w:val="000360DA"/>
    <w:rsid w:val="000610CC"/>
    <w:rsid w:val="000D21FC"/>
    <w:rsid w:val="00103A8A"/>
    <w:rsid w:val="00323B43"/>
    <w:rsid w:val="003D37D8"/>
    <w:rsid w:val="00414E94"/>
    <w:rsid w:val="004358AB"/>
    <w:rsid w:val="00466EE3"/>
    <w:rsid w:val="004A02D0"/>
    <w:rsid w:val="004B0B20"/>
    <w:rsid w:val="004C4732"/>
    <w:rsid w:val="0057768D"/>
    <w:rsid w:val="00590802"/>
    <w:rsid w:val="005F24AC"/>
    <w:rsid w:val="006008FE"/>
    <w:rsid w:val="00654372"/>
    <w:rsid w:val="006A3CC0"/>
    <w:rsid w:val="007A653B"/>
    <w:rsid w:val="007F7DD0"/>
    <w:rsid w:val="00816F83"/>
    <w:rsid w:val="008217D8"/>
    <w:rsid w:val="008B7726"/>
    <w:rsid w:val="008F06F1"/>
    <w:rsid w:val="009437D3"/>
    <w:rsid w:val="009835F8"/>
    <w:rsid w:val="009B41F7"/>
    <w:rsid w:val="00A3212C"/>
    <w:rsid w:val="00A82629"/>
    <w:rsid w:val="00B57CC6"/>
    <w:rsid w:val="00C52C53"/>
    <w:rsid w:val="00CC3302"/>
    <w:rsid w:val="00CF0BCE"/>
    <w:rsid w:val="00D81811"/>
    <w:rsid w:val="00E85B8F"/>
    <w:rsid w:val="00ED1F21"/>
    <w:rsid w:val="00FA6083"/>
    <w:rsid w:val="03651DD4"/>
    <w:rsid w:val="0DD36DE4"/>
    <w:rsid w:val="10677ABA"/>
    <w:rsid w:val="13CD20BC"/>
    <w:rsid w:val="2FD051DE"/>
    <w:rsid w:val="37E605AD"/>
    <w:rsid w:val="3AA63765"/>
    <w:rsid w:val="42711607"/>
    <w:rsid w:val="45EA4976"/>
    <w:rsid w:val="4AE76169"/>
    <w:rsid w:val="4FB000E2"/>
    <w:rsid w:val="5248395D"/>
    <w:rsid w:val="54A22B96"/>
    <w:rsid w:val="55B7169A"/>
    <w:rsid w:val="6626373C"/>
    <w:rsid w:val="6C452313"/>
    <w:rsid w:val="7AD6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cs="Times New Roman" w:eastAsiaTheme="minorEastAsia"/>
      <w:sz w:val="18"/>
      <w:szCs w:val="18"/>
    </w:rPr>
  </w:style>
  <w:style w:type="character" w:customStyle="1" w:styleId="7">
    <w:name w:val="页脚 字符"/>
    <w:basedOn w:val="5"/>
    <w:link w:val="2"/>
    <w:semiHidden/>
    <w:qFormat/>
    <w:uiPriority w:val="99"/>
    <w:rPr>
      <w:rFonts w:ascii="Times New Roman" w:hAnsi="Times New Roman" w:cs="Times New Roman" w:eastAsiaTheme="minorEastAsia"/>
      <w:sz w:val="18"/>
      <w:szCs w:val="18"/>
    </w:rPr>
  </w:style>
  <w:style w:type="character" w:customStyle="1" w:styleId="8">
    <w:name w:val="段 Char"/>
    <w:link w:val="9"/>
    <w:qFormat/>
    <w:uiPriority w:val="0"/>
    <w:rPr>
      <w:rFonts w:ascii="宋体"/>
      <w:sz w:val="21"/>
    </w:rPr>
  </w:style>
  <w:style w:type="paragraph" w:customStyle="1" w:styleId="9">
    <w:name w:val="段"/>
    <w:link w:val="8"/>
    <w:qFormat/>
    <w:uiPriority w:val="0"/>
    <w:pPr>
      <w:autoSpaceDE w:val="0"/>
      <w:autoSpaceDN w:val="0"/>
      <w:ind w:firstLine="200" w:firstLineChars="200"/>
      <w:jc w:val="both"/>
    </w:pPr>
    <w:rPr>
      <w:rFonts w:ascii="宋体" w:eastAsia="微软雅黑" w:hAnsiTheme="minorHAnsi" w:cstheme="minorBidi"/>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1134</Words>
  <Characters>1267</Characters>
  <Lines>9</Lines>
  <Paragraphs>2</Paragraphs>
  <TotalTime>1</TotalTime>
  <ScaleCrop>false</ScaleCrop>
  <LinksUpToDate>false</LinksUpToDate>
  <CharactersWithSpaces>1274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2018-12-27T07:32:00Z</dcterms:created>
  <dc:creator>admin</dc:creator>
  <cp:lastModifiedBy>WPS_1659064029</cp:lastModifiedBy>
  <dcterms:modified xsi:type="dcterms:W3CDTF">2023-10-27T01:35:13Z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B170F2CAF4FA4691877AF244D389C79E_13</vt:lpwstr>
  </property>
</Properties>
</file>