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ind w:right="-314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  <w:t>寿县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  <w:lang w:eastAsia="zh-CN"/>
        </w:rPr>
        <w:t>人民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</w:rPr>
        <w:t>医院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  <w:lang w:val="en-US" w:eastAsia="zh-CN"/>
        </w:rPr>
        <w:t>医用内窥镜图像处理器及配套使用耗材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shd w:val="clear" w:color="auto" w:fill="FFFFFF"/>
          <w:lang w:eastAsia="zh-CN"/>
        </w:rPr>
        <w:t>采购项目报价函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项目编号：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2022-YYCG-031</w:t>
      </w:r>
    </w:p>
    <w:p>
      <w:pPr>
        <w:widowControl/>
        <w:spacing w:line="390" w:lineRule="atLeast"/>
        <w:ind w:left="71" w:leftChars="-200" w:right="-314" w:hanging="491" w:hangingChars="205"/>
        <w:jc w:val="center"/>
        <w:rPr>
          <w:rFonts w:ascii="仿宋" w:hAnsi="仿宋" w:eastAsia="仿宋" w:cs="仿宋"/>
          <w:color w:val="000000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hd w:val="clear" w:color="auto" w:fill="FFFFFF"/>
        </w:rPr>
        <w:t>(报价必须严格按此格式，其他格式将不被接受)</w:t>
      </w:r>
    </w:p>
    <w:tbl>
      <w:tblPr>
        <w:tblStyle w:val="4"/>
        <w:tblW w:w="14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500"/>
        <w:gridCol w:w="1922"/>
        <w:gridCol w:w="1764"/>
        <w:gridCol w:w="2460"/>
        <w:gridCol w:w="1450"/>
        <w:gridCol w:w="1454"/>
        <w:gridCol w:w="993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eastAsia="zh-CN"/>
              </w:rPr>
              <w:t>货物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要求技术参数</w:t>
            </w:r>
          </w:p>
        </w:tc>
        <w:tc>
          <w:tcPr>
            <w:tcW w:w="4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所投产品品牌、型号及技术参数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（须详细描述）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参数响应情况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合价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</w:rPr>
              <w:t>供货时间承诺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医用内窥镜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图像处理器</w:t>
            </w: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品牌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1台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型号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9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参数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一次性电子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输尿管软镜</w:t>
            </w:r>
          </w:p>
        </w:tc>
        <w:tc>
          <w:tcPr>
            <w:tcW w:w="19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品牌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1支</w:t>
            </w:r>
            <w:bookmarkStart w:id="0" w:name="_GoBack"/>
            <w:bookmarkEnd w:id="0"/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</w:pPr>
          </w:p>
        </w:tc>
        <w:tc>
          <w:tcPr>
            <w:tcW w:w="1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型号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  <w:jc w:val="center"/>
        </w:trPr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参数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spacing w:line="390" w:lineRule="atLeast"/>
              <w:ind w:right="-314"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shd w:val="clear" w:color="auto" w:fill="FFFFFF"/>
              </w:rPr>
            </w:pPr>
          </w:p>
        </w:tc>
      </w:tr>
    </w:tbl>
    <w:p>
      <w:pPr>
        <w:widowControl/>
        <w:spacing w:line="390" w:lineRule="atLeast"/>
        <w:ind w:left="189" w:leftChars="90" w:right="-314" w:firstLine="648" w:firstLineChars="216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注：此表内容若单页填不下，可按同样格式扩展。但每页均需盖投标供应商公章；必须确保公章清晰。</w:t>
      </w:r>
    </w:p>
    <w:p>
      <w:pPr>
        <w:widowControl/>
        <w:spacing w:line="390" w:lineRule="atLeast"/>
        <w:ind w:left="189" w:leftChars="90" w:right="-314" w:firstLine="648" w:firstLineChars="216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合计报价（大写）：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元（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¥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：</w:t>
      </w:r>
      <w:r>
        <w:rPr>
          <w:rFonts w:hint="eastAsia" w:ascii="宋体" w:hAnsi="宋体" w:cs="宋体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）单位：人民币 元</w:t>
      </w:r>
    </w:p>
    <w:p>
      <w:pPr>
        <w:widowControl/>
        <w:spacing w:line="390" w:lineRule="atLeast"/>
        <w:ind w:left="189" w:leftChars="90" w:right="-314" w:firstLine="648" w:firstLineChars="216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                          </w:t>
      </w:r>
    </w:p>
    <w:p>
      <w:pPr>
        <w:widowControl/>
        <w:spacing w:line="390" w:lineRule="atLeast"/>
        <w:ind w:left="189" w:leftChars="90" w:right="-314" w:firstLine="648" w:firstLineChars="216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                         </w:t>
      </w:r>
    </w:p>
    <w:p>
      <w:pPr>
        <w:widowControl/>
        <w:spacing w:line="390" w:lineRule="atLeast"/>
        <w:ind w:left="189" w:leftChars="90" w:right="-314" w:firstLine="648" w:firstLineChars="216"/>
        <w:jc w:val="left"/>
        <w:rPr>
          <w:rFonts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 xml:space="preserve">  日期：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u w:val="single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日</w:t>
      </w:r>
    </w:p>
    <w:p>
      <w:pPr>
        <w:ind w:left="191" w:leftChars="91" w:firstLine="18" w:firstLineChars="9"/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mVmZWVlNzMxMTAzM2NhOWQ3NTI3OTIxZmVmMmIifQ=="/>
  </w:docVars>
  <w:rsids>
    <w:rsidRoot w:val="38D13D56"/>
    <w:rsid w:val="08795C00"/>
    <w:rsid w:val="1F8D0672"/>
    <w:rsid w:val="38D13D56"/>
    <w:rsid w:val="422A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Theme="minorAscii" w:hAnsiTheme="minorAscii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272</Characters>
  <Lines>0</Lines>
  <Paragraphs>0</Paragraphs>
  <TotalTime>11</TotalTime>
  <ScaleCrop>false</ScaleCrop>
  <LinksUpToDate>false</LinksUpToDate>
  <CharactersWithSpaces>456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2022-11-14T02:29:00Z</dcterms:created>
  <dc:creator>Yz.cat.</dc:creator>
  <cp:lastModifiedBy>WPS_1659064029</cp:lastModifiedBy>
  <dcterms:modified xsi:type="dcterms:W3CDTF">2022-11-14T08:28:43Z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F05AB27A5A8447F7AC2B7AF91D66BECC</vt:lpwstr>
  </property>
</Properties>
</file>